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6E2B" w14:textId="77777777" w:rsidR="009C467D" w:rsidRDefault="009C467D" w:rsidP="00E43DDA">
      <w:pPr>
        <w:spacing w:after="0" w:line="240" w:lineRule="auto"/>
      </w:pPr>
      <w:bookmarkStart w:id="0" w:name="_GoBack"/>
      <w:bookmarkEnd w:id="0"/>
    </w:p>
    <w:p w14:paraId="1625711E" w14:textId="77777777" w:rsidR="00C36F56" w:rsidRDefault="00C36F56" w:rsidP="00FA4A5C">
      <w:pPr>
        <w:spacing w:after="0" w:line="240" w:lineRule="auto"/>
        <w:jc w:val="center"/>
        <w:rPr>
          <w:b/>
          <w:sz w:val="36"/>
        </w:rPr>
      </w:pPr>
    </w:p>
    <w:p w14:paraId="35714B5D" w14:textId="77777777" w:rsidR="00FA4A5C" w:rsidRDefault="00C36F56" w:rsidP="00FA4A5C">
      <w:pPr>
        <w:spacing w:after="0" w:line="240" w:lineRule="auto"/>
        <w:jc w:val="center"/>
        <w:rPr>
          <w:b/>
          <w:sz w:val="36"/>
        </w:rPr>
      </w:pPr>
      <w:r>
        <w:rPr>
          <w:b/>
          <w:sz w:val="36"/>
        </w:rPr>
        <w:t xml:space="preserve">The Costs and Benefits of </w:t>
      </w:r>
      <w:r w:rsidR="006F1023">
        <w:rPr>
          <w:b/>
          <w:sz w:val="36"/>
        </w:rPr>
        <w:t xml:space="preserve">Distributed </w:t>
      </w:r>
      <w:r>
        <w:rPr>
          <w:b/>
          <w:sz w:val="36"/>
        </w:rPr>
        <w:t>Solar</w:t>
      </w:r>
    </w:p>
    <w:p w14:paraId="566502DB" w14:textId="2AE917D7" w:rsidR="00C36F56" w:rsidRPr="00FA4A5C" w:rsidRDefault="004D594F" w:rsidP="00FA4A5C">
      <w:pPr>
        <w:spacing w:after="0" w:line="240" w:lineRule="auto"/>
        <w:jc w:val="center"/>
        <w:rPr>
          <w:b/>
          <w:sz w:val="36"/>
        </w:rPr>
      </w:pPr>
      <w:r>
        <w:rPr>
          <w:b/>
          <w:sz w:val="36"/>
        </w:rPr>
        <w:t>Generation in Georgia</w:t>
      </w:r>
    </w:p>
    <w:p w14:paraId="7C2B5DC0" w14:textId="77777777" w:rsidR="00FA4A5C" w:rsidRPr="00FA4A5C" w:rsidRDefault="00FA4A5C" w:rsidP="00FA4A5C">
      <w:pPr>
        <w:spacing w:after="0" w:line="240" w:lineRule="auto"/>
        <w:jc w:val="center"/>
        <w:rPr>
          <w:b/>
        </w:rPr>
      </w:pPr>
    </w:p>
    <w:p w14:paraId="26B898EB" w14:textId="621E9765" w:rsidR="00FA4A5C" w:rsidRDefault="002D7D64" w:rsidP="00BC678C">
      <w:pPr>
        <w:spacing w:after="0" w:line="240" w:lineRule="auto"/>
        <w:jc w:val="center"/>
      </w:pPr>
      <w:r>
        <w:rPr>
          <w:b/>
        </w:rPr>
        <w:t xml:space="preserve">Draft: </w:t>
      </w:r>
      <w:r w:rsidR="006672C6">
        <w:rPr>
          <w:b/>
        </w:rPr>
        <w:t>01/</w:t>
      </w:r>
      <w:r w:rsidR="00F31A92">
        <w:rPr>
          <w:b/>
        </w:rPr>
        <w:t>25</w:t>
      </w:r>
      <w:r w:rsidR="006672C6">
        <w:rPr>
          <w:b/>
        </w:rPr>
        <w:t>/16</w:t>
      </w:r>
    </w:p>
    <w:p w14:paraId="12CF471D" w14:textId="77777777" w:rsidR="009C467D" w:rsidRDefault="009C467D" w:rsidP="00E43DDA">
      <w:pPr>
        <w:spacing w:after="0" w:line="240" w:lineRule="auto"/>
      </w:pPr>
    </w:p>
    <w:p w14:paraId="34E7F1E9" w14:textId="77777777" w:rsidR="0034210C" w:rsidRDefault="0034210C" w:rsidP="00E12716">
      <w:pPr>
        <w:spacing w:after="0" w:line="240" w:lineRule="auto"/>
        <w:rPr>
          <w:b/>
        </w:rPr>
      </w:pPr>
    </w:p>
    <w:p w14:paraId="41385155" w14:textId="77777777" w:rsidR="00226B44" w:rsidRDefault="00226B44">
      <w:pPr>
        <w:rPr>
          <w:b/>
        </w:rPr>
      </w:pPr>
    </w:p>
    <w:p w14:paraId="289513FB" w14:textId="77777777" w:rsidR="00E67D4D" w:rsidRDefault="00E67D4D">
      <w:pPr>
        <w:rPr>
          <w:b/>
        </w:rPr>
      </w:pPr>
    </w:p>
    <w:p w14:paraId="7A2C3F73" w14:textId="77777777" w:rsidR="006A6B1E" w:rsidRPr="00FA4A5C" w:rsidRDefault="006A6B1E" w:rsidP="006A6B1E">
      <w:pPr>
        <w:spacing w:after="0" w:line="240" w:lineRule="auto"/>
        <w:jc w:val="center"/>
        <w:rPr>
          <w:b/>
        </w:rPr>
      </w:pPr>
      <w:r>
        <w:rPr>
          <w:b/>
        </w:rPr>
        <w:t>TABLE OF CONTENTS</w:t>
      </w:r>
      <w:r w:rsidR="00963E95">
        <w:rPr>
          <w:b/>
        </w:rPr>
        <w:t xml:space="preserve"> </w:t>
      </w:r>
    </w:p>
    <w:p w14:paraId="0E8B129F" w14:textId="77777777" w:rsidR="006A6B1E" w:rsidRDefault="006A6B1E" w:rsidP="006A6B1E">
      <w:pPr>
        <w:spacing w:line="240" w:lineRule="auto"/>
      </w:pPr>
    </w:p>
    <w:p w14:paraId="0AF21A9B" w14:textId="77777777" w:rsidR="006672C6" w:rsidRPr="009846CB" w:rsidRDefault="006672C6" w:rsidP="006672C6">
      <w:pPr>
        <w:spacing w:line="240" w:lineRule="auto"/>
        <w:rPr>
          <w:b/>
          <w:u w:val="single"/>
        </w:rPr>
      </w:pPr>
      <w:proofErr w:type="gramStart"/>
      <w:r>
        <w:rPr>
          <w:b/>
          <w:u w:val="single"/>
        </w:rPr>
        <w:t xml:space="preserve">Document </w:t>
      </w:r>
      <w:r w:rsidRPr="009846CB">
        <w:rPr>
          <w:b/>
          <w:u w:val="single"/>
        </w:rPr>
        <w:t>Section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Page No.</w:t>
      </w:r>
      <w:proofErr w:type="gramEnd"/>
    </w:p>
    <w:p w14:paraId="67D1EEFD" w14:textId="3991DE46" w:rsidR="006A6B1E" w:rsidRDefault="006A6B1E" w:rsidP="006A6B1E">
      <w:pPr>
        <w:spacing w:line="240" w:lineRule="auto"/>
      </w:pPr>
      <w:r>
        <w:t>Section 1</w:t>
      </w:r>
      <w:r w:rsidR="00E1660D">
        <w:t xml:space="preserve"> </w:t>
      </w:r>
      <w:r>
        <w:t>-</w:t>
      </w:r>
      <w:r w:rsidR="00E1660D">
        <w:t xml:space="preserve"> </w:t>
      </w:r>
      <w:r>
        <w:t>Executive Summary</w:t>
      </w:r>
      <w:r w:rsidR="006672C6">
        <w:tab/>
      </w:r>
      <w:r w:rsidR="006672C6">
        <w:tab/>
      </w:r>
      <w:r w:rsidR="006672C6">
        <w:tab/>
      </w:r>
      <w:r w:rsidR="006672C6">
        <w:tab/>
      </w:r>
      <w:r w:rsidR="006672C6">
        <w:tab/>
      </w:r>
      <w:r w:rsidR="006672C6">
        <w:tab/>
      </w:r>
      <w:r w:rsidR="006672C6">
        <w:tab/>
      </w:r>
      <w:r w:rsidR="006672C6">
        <w:tab/>
      </w:r>
      <w:r w:rsidR="006672C6">
        <w:tab/>
        <w:t>2</w:t>
      </w:r>
    </w:p>
    <w:p w14:paraId="7BCA3D0B" w14:textId="13BDC0A4" w:rsidR="006A6B1E" w:rsidRDefault="006A6B1E" w:rsidP="006A6B1E">
      <w:pPr>
        <w:spacing w:line="240" w:lineRule="auto"/>
      </w:pPr>
      <w:r>
        <w:t xml:space="preserve">Section </w:t>
      </w:r>
      <w:r w:rsidR="00E75118">
        <w:t xml:space="preserve">2 </w:t>
      </w:r>
      <w:r w:rsidR="00E1660D">
        <w:t xml:space="preserve">- Distributed </w:t>
      </w:r>
      <w:r w:rsidR="00C36F56">
        <w:t xml:space="preserve">Solar Cost Benefit </w:t>
      </w:r>
      <w:r>
        <w:t>Results</w:t>
      </w:r>
      <w:r w:rsidR="006672C6">
        <w:tab/>
      </w:r>
      <w:r w:rsidR="006672C6">
        <w:tab/>
      </w:r>
      <w:r w:rsidR="006672C6">
        <w:tab/>
      </w:r>
      <w:r w:rsidR="006672C6">
        <w:tab/>
      </w:r>
      <w:r w:rsidR="006672C6">
        <w:tab/>
      </w:r>
      <w:r w:rsidR="006672C6">
        <w:tab/>
      </w:r>
      <w:r w:rsidR="006672C6">
        <w:tab/>
      </w:r>
      <w:r w:rsidR="00F55E12">
        <w:t>7</w:t>
      </w:r>
    </w:p>
    <w:p w14:paraId="1894C6BC" w14:textId="77777777" w:rsidR="006A6B1E" w:rsidRDefault="006A6B1E" w:rsidP="006A6B1E">
      <w:pPr>
        <w:spacing w:line="240" w:lineRule="auto"/>
      </w:pPr>
    </w:p>
    <w:p w14:paraId="1E98D7D1" w14:textId="77777777" w:rsidR="006A6B1E" w:rsidRDefault="006A6B1E">
      <w:pPr>
        <w:rPr>
          <w:b/>
        </w:rPr>
      </w:pPr>
      <w:r>
        <w:rPr>
          <w:b/>
        </w:rPr>
        <w:br w:type="page"/>
      </w:r>
    </w:p>
    <w:p w14:paraId="689C2545" w14:textId="77777777" w:rsidR="009C467D" w:rsidRPr="00FA4A5C" w:rsidRDefault="00FA4A5C" w:rsidP="00FA4A5C">
      <w:pPr>
        <w:spacing w:after="0" w:line="240" w:lineRule="auto"/>
        <w:jc w:val="center"/>
        <w:rPr>
          <w:b/>
        </w:rPr>
      </w:pPr>
      <w:r w:rsidRPr="00FA4A5C">
        <w:rPr>
          <w:b/>
        </w:rPr>
        <w:lastRenderedPageBreak/>
        <w:t>SECTION</w:t>
      </w:r>
      <w:r w:rsidR="009C467D" w:rsidRPr="00FA4A5C">
        <w:rPr>
          <w:b/>
        </w:rPr>
        <w:t xml:space="preserve"> 1 </w:t>
      </w:r>
      <w:r w:rsidRPr="00FA4A5C">
        <w:rPr>
          <w:b/>
        </w:rPr>
        <w:t>–</w:t>
      </w:r>
      <w:r w:rsidR="009C467D" w:rsidRPr="00FA4A5C">
        <w:rPr>
          <w:b/>
        </w:rPr>
        <w:t xml:space="preserve"> </w:t>
      </w:r>
      <w:r w:rsidRPr="00FA4A5C">
        <w:rPr>
          <w:b/>
        </w:rPr>
        <w:t>EXECUTIVE SUMMARY</w:t>
      </w:r>
    </w:p>
    <w:p w14:paraId="39CFB2CB" w14:textId="77777777" w:rsidR="00C94106" w:rsidRDefault="00C94106" w:rsidP="002233FB"/>
    <w:p w14:paraId="700AE2D8" w14:textId="77777777" w:rsidR="004A4DDE" w:rsidRDefault="00FC484A" w:rsidP="002233FB">
      <w:r w:rsidRPr="002233FB">
        <w:rPr>
          <w:b/>
        </w:rPr>
        <w:t>Introduction</w:t>
      </w:r>
    </w:p>
    <w:p w14:paraId="6CAD7526" w14:textId="371C01D5" w:rsidR="00E75118" w:rsidRDefault="00E75118" w:rsidP="002233FB">
      <w:pPr>
        <w:ind w:firstLine="720"/>
      </w:pPr>
      <w:r>
        <w:t xml:space="preserve">The purpose of this document is to present the results of an analysis to determine the impacts of various levels of distributed solar penetration </w:t>
      </w:r>
      <w:r w:rsidR="00942A44">
        <w:t>in Georgia</w:t>
      </w:r>
      <w:r>
        <w:t xml:space="preserve">.  </w:t>
      </w:r>
      <w:r w:rsidR="00226B44">
        <w:t xml:space="preserve">Neither this </w:t>
      </w:r>
      <w:r>
        <w:t xml:space="preserve">analysis </w:t>
      </w:r>
      <w:r w:rsidR="00226B44">
        <w:t>nor the performance of it represents a view</w:t>
      </w:r>
      <w:r>
        <w:t xml:space="preserve"> that such levels of penetration are either possible or anticipated.  Rather, the purpose </w:t>
      </w:r>
      <w:r w:rsidR="00226B44">
        <w:t xml:space="preserve">of this analysis </w:t>
      </w:r>
      <w:r>
        <w:t xml:space="preserve">is to </w:t>
      </w:r>
      <w:r w:rsidR="00226B44">
        <w:t xml:space="preserve">develop </w:t>
      </w:r>
      <w:r>
        <w:t xml:space="preserve">a general expectation regarding the </w:t>
      </w:r>
      <w:r w:rsidR="003C0B4D">
        <w:t xml:space="preserve">costs and benefits </w:t>
      </w:r>
      <w:r>
        <w:t xml:space="preserve">of distributed solar </w:t>
      </w:r>
      <w:r w:rsidR="00942A44">
        <w:t>in Georgia</w:t>
      </w:r>
      <w:r>
        <w:t xml:space="preserve"> and to assess the extent to which various levels of penetration of distributed solar will impact the operation of the </w:t>
      </w:r>
      <w:r w:rsidR="00942A44">
        <w:t>electric system in Georgia</w:t>
      </w:r>
      <w:r>
        <w:t>.</w:t>
      </w:r>
    </w:p>
    <w:p w14:paraId="5574163C" w14:textId="77777777" w:rsidR="00FC484A" w:rsidRDefault="00FC484A" w:rsidP="002233FB">
      <w:pPr>
        <w:ind w:firstLine="720"/>
      </w:pPr>
    </w:p>
    <w:p w14:paraId="6185D722" w14:textId="77777777" w:rsidR="00FC484A" w:rsidRPr="00444C72" w:rsidRDefault="00FC484A" w:rsidP="00FC484A">
      <w:pPr>
        <w:rPr>
          <w:b/>
        </w:rPr>
      </w:pPr>
      <w:r>
        <w:rPr>
          <w:b/>
        </w:rPr>
        <w:t>Process</w:t>
      </w:r>
      <w:r w:rsidR="00E75118">
        <w:rPr>
          <w:b/>
        </w:rPr>
        <w:t xml:space="preserve"> and General Approach</w:t>
      </w:r>
    </w:p>
    <w:p w14:paraId="669B1D4C" w14:textId="57C97DAE" w:rsidR="00E75118" w:rsidRDefault="00E75118" w:rsidP="00E75118">
      <w:pPr>
        <w:ind w:firstLine="720"/>
      </w:pPr>
      <w:r>
        <w:t xml:space="preserve">This analysis of the costs and benefits of distributed solar was performed </w:t>
      </w:r>
      <w:r w:rsidR="00C52963">
        <w:t>according to</w:t>
      </w:r>
      <w:r>
        <w:t xml:space="preserve"> the processes and methodologies described in the document titled “A Framework for Determining The Costs and Benefits of Solar </w:t>
      </w:r>
      <w:r w:rsidR="00942A44">
        <w:t>Generation in Georgia</w:t>
      </w:r>
      <w:r>
        <w:t>”</w:t>
      </w:r>
      <w:r w:rsidR="00FF0FEB">
        <w:t xml:space="preserve"> (</w:t>
      </w:r>
      <w:r w:rsidR="00942A44">
        <w:t>“</w:t>
      </w:r>
      <w:r w:rsidR="00FF0FEB">
        <w:t>Framework</w:t>
      </w:r>
      <w:r w:rsidR="00942A44">
        <w:t>”</w:t>
      </w:r>
      <w:r w:rsidR="00FF0FEB">
        <w:t>)</w:t>
      </w:r>
      <w:r w:rsidR="006D28E5">
        <w:t xml:space="preserve">. </w:t>
      </w:r>
    </w:p>
    <w:p w14:paraId="67BFE6AA" w14:textId="05A9A61E" w:rsidR="00E75118" w:rsidRDefault="00E75118" w:rsidP="00E75118">
      <w:pPr>
        <w:ind w:firstLine="720"/>
      </w:pPr>
      <w:r>
        <w:t xml:space="preserve">Because many aspects of the costs and benefits realized by distributed solar are dependent upon the level of penetration, an iterative approach to evaluating the costs and benefits </w:t>
      </w:r>
      <w:r w:rsidR="00C52963">
        <w:t>is</w:t>
      </w:r>
      <w:r>
        <w:t xml:space="preserve"> appropriate.  </w:t>
      </w:r>
      <w:r w:rsidR="00C52963">
        <w:t xml:space="preserve">The </w:t>
      </w:r>
      <w:r>
        <w:t xml:space="preserve">iterative approach </w:t>
      </w:r>
      <w:r w:rsidR="00C52963">
        <w:t>used for this analysis was</w:t>
      </w:r>
      <w:r>
        <w:t xml:space="preserve"> based on incremental distributed solar penetrations in </w:t>
      </w:r>
      <w:r w:rsidR="003C0B4D">
        <w:t xml:space="preserve">eight </w:t>
      </w:r>
      <w:r w:rsidR="00020D67">
        <w:t>1000MW</w:t>
      </w:r>
      <w:r w:rsidR="00020D67" w:rsidRPr="00E93DAC">
        <w:rPr>
          <w:vertAlign w:val="subscript"/>
        </w:rPr>
        <w:t>AC</w:t>
      </w:r>
      <w:r w:rsidR="00C52963">
        <w:t xml:space="preserve"> </w:t>
      </w:r>
      <w:r w:rsidR="003C0B4D">
        <w:t xml:space="preserve">tranches </w:t>
      </w:r>
      <w:r w:rsidR="00355B99">
        <w:t>(solar blocks)</w:t>
      </w:r>
      <w:r>
        <w:t xml:space="preserve">, with each </w:t>
      </w:r>
      <w:r w:rsidR="00355B99">
        <w:t xml:space="preserve">subsequent </w:t>
      </w:r>
      <w:r w:rsidR="00020D67">
        <w:t xml:space="preserve">1000MW </w:t>
      </w:r>
      <w:r w:rsidR="003C0B4D">
        <w:t xml:space="preserve">tranche </w:t>
      </w:r>
      <w:r>
        <w:t xml:space="preserve">building upon the results of the previous </w:t>
      </w:r>
      <w:r w:rsidR="00020D67">
        <w:t xml:space="preserve">1000MW </w:t>
      </w:r>
      <w:r w:rsidR="003C0B4D">
        <w:t>tranche</w:t>
      </w:r>
      <w:r>
        <w:t xml:space="preserve">.  For example, the first </w:t>
      </w:r>
      <w:r w:rsidR="00020D67">
        <w:t xml:space="preserve">1000MW </w:t>
      </w:r>
      <w:r w:rsidR="003C0B4D">
        <w:t xml:space="preserve">tranche </w:t>
      </w:r>
      <w:r w:rsidR="00C52963">
        <w:t>is</w:t>
      </w:r>
      <w:r w:rsidR="00355B99">
        <w:t xml:space="preserve"> evaluated assuming that solar block is added to the</w:t>
      </w:r>
      <w:r>
        <w:t xml:space="preserve"> existing planning cases</w:t>
      </w:r>
      <w:r w:rsidR="005756E5">
        <w:t>.</w:t>
      </w:r>
      <w:r w:rsidR="00020D67">
        <w:rPr>
          <w:rStyle w:val="FootnoteReference"/>
        </w:rPr>
        <w:footnoteReference w:id="1"/>
      </w:r>
      <w:r w:rsidR="00E93DAC">
        <w:t xml:space="preserve">  </w:t>
      </w:r>
      <w:r w:rsidR="00301D1D">
        <w:t>Each additional</w:t>
      </w:r>
      <w:r>
        <w:t xml:space="preserve"> </w:t>
      </w:r>
      <w:r w:rsidR="00020D67">
        <w:t xml:space="preserve">1000MW </w:t>
      </w:r>
      <w:r w:rsidR="003C0B4D">
        <w:t xml:space="preserve">tranche </w:t>
      </w:r>
      <w:r w:rsidR="00355B99">
        <w:t xml:space="preserve">would be </w:t>
      </w:r>
      <w:r w:rsidR="00301D1D">
        <w:t xml:space="preserve">added and </w:t>
      </w:r>
      <w:r w:rsidR="00355B99">
        <w:t xml:space="preserve">evaluated </w:t>
      </w:r>
      <w:r w:rsidR="00301D1D">
        <w:t xml:space="preserve">incrementally </w:t>
      </w:r>
      <w:r w:rsidR="00355B99">
        <w:t>to</w:t>
      </w:r>
      <w:r>
        <w:t xml:space="preserve"> the results of the </w:t>
      </w:r>
      <w:r w:rsidR="00355B99">
        <w:t xml:space="preserve">final analysis of </w:t>
      </w:r>
      <w:r w:rsidR="00771B83">
        <w:t xml:space="preserve">the </w:t>
      </w:r>
      <w:r w:rsidR="00301D1D">
        <w:t xml:space="preserve">previous </w:t>
      </w:r>
      <w:r w:rsidR="003C0B4D">
        <w:t>tranche</w:t>
      </w:r>
      <w:r w:rsidR="00355B99">
        <w:t>.</w:t>
      </w:r>
      <w:r>
        <w:t xml:space="preserve">  Each </w:t>
      </w:r>
      <w:r w:rsidR="003C0B4D">
        <w:t xml:space="preserve">tranche </w:t>
      </w:r>
      <w:r>
        <w:t xml:space="preserve">evaluated, therefore, would reflect the incremental costs and benefits over the previous </w:t>
      </w:r>
      <w:r w:rsidR="003C0B4D">
        <w:t>tranche</w:t>
      </w:r>
      <w:r>
        <w:t>.</w:t>
      </w:r>
    </w:p>
    <w:p w14:paraId="2EEDAB0A" w14:textId="0B0BC317" w:rsidR="009C2DF6" w:rsidRDefault="009C2DF6" w:rsidP="00E75118">
      <w:pPr>
        <w:ind w:firstLine="720"/>
      </w:pPr>
      <w:r>
        <w:t xml:space="preserve">Because the </w:t>
      </w:r>
      <w:r w:rsidR="00C52963">
        <w:t xml:space="preserve">goal </w:t>
      </w:r>
      <w:r w:rsidR="00E22F8F">
        <w:t xml:space="preserve">is to determine the types of impacts that may be caused by increasing levels of distributed solar penetration, it was assumed that all of these </w:t>
      </w:r>
      <w:r w:rsidR="00020D67">
        <w:t xml:space="preserve">1000MW </w:t>
      </w:r>
      <w:r w:rsidR="003C0B4D">
        <w:t>tranches</w:t>
      </w:r>
      <w:r w:rsidR="00E22F8F">
        <w:t xml:space="preserve"> could be implemented overnight.  </w:t>
      </w:r>
      <w:r w:rsidR="003C0B4D">
        <w:t>While</w:t>
      </w:r>
      <w:r w:rsidR="00E22F8F">
        <w:t xml:space="preserve"> </w:t>
      </w:r>
      <w:r w:rsidR="00226B44">
        <w:t>practically infeasible</w:t>
      </w:r>
      <w:r w:rsidR="003C0B4D">
        <w:t xml:space="preserve">, </w:t>
      </w:r>
      <w:r w:rsidR="00C52963">
        <w:t xml:space="preserve">utilizing this </w:t>
      </w:r>
      <w:r w:rsidR="00020D67">
        <w:t xml:space="preserve">approach </w:t>
      </w:r>
      <w:r w:rsidR="00E22F8F">
        <w:t xml:space="preserve">gives a clearer comparative picture </w:t>
      </w:r>
      <w:r w:rsidR="00226B44">
        <w:t>as to the differences among the</w:t>
      </w:r>
      <w:r w:rsidR="00E22F8F">
        <w:t xml:space="preserve"> </w:t>
      </w:r>
      <w:r w:rsidR="00020D67">
        <w:t xml:space="preserve">1000MW </w:t>
      </w:r>
      <w:r w:rsidR="003C0B4D">
        <w:t>tranches</w:t>
      </w:r>
      <w:r w:rsidR="00E22F8F">
        <w:t>.</w:t>
      </w:r>
    </w:p>
    <w:p w14:paraId="541F77AF" w14:textId="77777777" w:rsidR="00AA2ED9" w:rsidRDefault="00AA2ED9" w:rsidP="002233FB">
      <w:pPr>
        <w:spacing w:after="0" w:line="240" w:lineRule="auto"/>
      </w:pPr>
    </w:p>
    <w:p w14:paraId="587EA9D9" w14:textId="77777777" w:rsidR="00082939" w:rsidRPr="002233FB" w:rsidRDefault="00082939" w:rsidP="002233FB">
      <w:pPr>
        <w:spacing w:after="0" w:line="240" w:lineRule="auto"/>
        <w:rPr>
          <w:b/>
        </w:rPr>
      </w:pPr>
      <w:r w:rsidRPr="002233FB">
        <w:rPr>
          <w:b/>
        </w:rPr>
        <w:t>Summary of Results</w:t>
      </w:r>
    </w:p>
    <w:p w14:paraId="0E46C8C5" w14:textId="77777777" w:rsidR="00BF6E7B" w:rsidRDefault="00BF6E7B" w:rsidP="002233FB">
      <w:pPr>
        <w:pStyle w:val="ListParagraph"/>
        <w:ind w:left="0" w:firstLine="720"/>
      </w:pPr>
    </w:p>
    <w:p w14:paraId="4C90E65D" w14:textId="77777777" w:rsidR="00A47D21" w:rsidRDefault="00E93DAC" w:rsidP="002233FB">
      <w:pPr>
        <w:pStyle w:val="ListParagraph"/>
        <w:ind w:left="0" w:firstLine="720"/>
      </w:pPr>
      <w:r>
        <w:t>Table 1 contains a summary</w:t>
      </w:r>
      <w:r w:rsidR="00226B44">
        <w:t xml:space="preserve"> </w:t>
      </w:r>
      <w:r w:rsidR="006B226F">
        <w:t>of the results of the cost-benefit analysis of Distributed-Metered (DG-M) and Distributed-Behind the Meter (DG-BM)</w:t>
      </w:r>
      <w:r w:rsidR="00DC71C4">
        <w:rPr>
          <w:rStyle w:val="FootnoteReference"/>
        </w:rPr>
        <w:footnoteReference w:id="2"/>
      </w:r>
      <w:r w:rsidR="006B226F">
        <w:t xml:space="preserve"> solar generation for each of the </w:t>
      </w:r>
      <w:r w:rsidR="00DC71C4">
        <w:t xml:space="preserve">eight </w:t>
      </w:r>
      <w:r w:rsidR="00515C7D">
        <w:t xml:space="preserve">1000MW </w:t>
      </w:r>
      <w:r w:rsidR="006B226F">
        <w:lastRenderedPageBreak/>
        <w:t xml:space="preserve">distributed solar </w:t>
      </w:r>
      <w:r w:rsidR="00DC71C4">
        <w:t>tranches</w:t>
      </w:r>
      <w:r w:rsidR="006B226F">
        <w:t xml:space="preserve">.  </w:t>
      </w:r>
      <w:r w:rsidR="00226B44">
        <w:t xml:space="preserve">The </w:t>
      </w:r>
      <w:r w:rsidR="006B226F">
        <w:t>results</w:t>
      </w:r>
      <w:r w:rsidR="00226B44">
        <w:rPr>
          <w:rStyle w:val="FootnoteReference"/>
        </w:rPr>
        <w:footnoteReference w:id="3"/>
      </w:r>
      <w:r w:rsidR="006B226F">
        <w:t xml:space="preserve"> shown </w:t>
      </w:r>
      <w:r w:rsidR="00226B44">
        <w:t xml:space="preserve">in Table 1 </w:t>
      </w:r>
      <w:r w:rsidR="006B226F">
        <w:t>are levelized</w:t>
      </w:r>
      <w:r w:rsidR="0034414E">
        <w:rPr>
          <w:rStyle w:val="FootnoteReference"/>
        </w:rPr>
        <w:footnoteReference w:id="4"/>
      </w:r>
      <w:r w:rsidR="006B226F">
        <w:t xml:space="preserve"> across 30 years</w:t>
      </w:r>
      <w:r w:rsidR="00771B83">
        <w:t xml:space="preserve"> beginning in 2019</w:t>
      </w:r>
      <w:r w:rsidR="006B226F">
        <w:t>.</w:t>
      </w:r>
      <w:r w:rsidR="0034414E">
        <w:t xml:space="preserve">  The value shown in each category for each </w:t>
      </w:r>
      <w:r w:rsidR="00DC71C4">
        <w:t>tranche</w:t>
      </w:r>
      <w:r w:rsidR="0034414E">
        <w:t xml:space="preserve"> is incremental to the previous </w:t>
      </w:r>
      <w:r w:rsidR="00DC71C4">
        <w:t>tranche</w:t>
      </w:r>
      <w:r w:rsidR="0034414E">
        <w:t xml:space="preserve"> and represents the benefit or cost of an additional </w:t>
      </w:r>
      <w:r w:rsidR="00020D67">
        <w:t xml:space="preserve">1000MW </w:t>
      </w:r>
      <w:r w:rsidR="0034414E">
        <w:t xml:space="preserve">of distributed solar </w:t>
      </w:r>
      <w:r w:rsidR="00226B44">
        <w:t xml:space="preserve">to the </w:t>
      </w:r>
      <w:r w:rsidR="006D28E5">
        <w:t>Georgia Power Electric System</w:t>
      </w:r>
      <w:r w:rsidR="00226B44">
        <w:t xml:space="preserve"> </w:t>
      </w:r>
      <w:r w:rsidR="0034414E">
        <w:t xml:space="preserve">after considering the impact of the previous </w:t>
      </w:r>
      <w:r w:rsidR="00020D67">
        <w:t xml:space="preserve">1000MW </w:t>
      </w:r>
      <w:r w:rsidR="0034414E">
        <w:t xml:space="preserve">of distributed solar.  </w:t>
      </w:r>
      <w:r w:rsidR="00134C91">
        <w:t xml:space="preserve">The installation costs of the distributed solar facilities are </w:t>
      </w:r>
      <w:r w:rsidR="00134C91" w:rsidRPr="00B764CA">
        <w:rPr>
          <w:b/>
          <w:i/>
        </w:rPr>
        <w:t>not</w:t>
      </w:r>
      <w:r w:rsidR="00134C91">
        <w:t xml:space="preserve"> included in this analysis</w:t>
      </w:r>
      <w:r w:rsidR="003A0A78">
        <w:t>.</w:t>
      </w:r>
    </w:p>
    <w:p w14:paraId="72A330E0" w14:textId="77777777" w:rsidR="00FF0FEB" w:rsidRDefault="00FF0FEB" w:rsidP="002233FB">
      <w:pPr>
        <w:pStyle w:val="ListParagraph"/>
        <w:ind w:left="0" w:firstLine="720"/>
      </w:pPr>
    </w:p>
    <w:p w14:paraId="7996EE8B" w14:textId="77777777" w:rsidR="006B226F" w:rsidRDefault="006B226F" w:rsidP="002233FB">
      <w:pPr>
        <w:rPr>
          <w:b/>
        </w:rPr>
      </w:pPr>
      <w:r w:rsidRPr="002233FB">
        <w:rPr>
          <w:b/>
        </w:rPr>
        <w:t xml:space="preserve">Table </w:t>
      </w:r>
      <w:r w:rsidR="00A83930">
        <w:rPr>
          <w:b/>
        </w:rPr>
        <w:t>1</w:t>
      </w:r>
      <w:r w:rsidR="00DC71C4">
        <w:rPr>
          <w:b/>
        </w:rPr>
        <w:t>:</w:t>
      </w:r>
      <w:r w:rsidR="00DC71C4" w:rsidRPr="002233FB">
        <w:rPr>
          <w:b/>
        </w:rPr>
        <w:t xml:space="preserve"> </w:t>
      </w:r>
      <w:r w:rsidRPr="002233FB">
        <w:rPr>
          <w:b/>
        </w:rPr>
        <w:t xml:space="preserve">Levelized Costs and Benefits of </w:t>
      </w:r>
      <w:r w:rsidR="00656FFC">
        <w:rPr>
          <w:b/>
        </w:rPr>
        <w:t>Distributed</w:t>
      </w:r>
      <w:r w:rsidRPr="002233FB">
        <w:rPr>
          <w:b/>
        </w:rPr>
        <w:t xml:space="preserve"> Solar Generation</w:t>
      </w:r>
      <w:r w:rsidR="00771B83">
        <w:rPr>
          <w:b/>
        </w:rPr>
        <w:t xml:space="preserve"> ($/MWH)</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810"/>
        <w:gridCol w:w="810"/>
        <w:gridCol w:w="810"/>
        <w:gridCol w:w="900"/>
        <w:gridCol w:w="810"/>
        <w:gridCol w:w="810"/>
        <w:gridCol w:w="846"/>
        <w:gridCol w:w="792"/>
      </w:tblGrid>
      <w:tr w:rsidR="00AE5668" w:rsidRPr="001D50F2" w14:paraId="2538CF41" w14:textId="77777777" w:rsidTr="00AE56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2E4A3D5D" w14:textId="77777777" w:rsidR="001D50F2" w:rsidRPr="0091155F" w:rsidRDefault="001D50F2">
            <w:pPr>
              <w:rPr>
                <w:sz w:val="18"/>
                <w:szCs w:val="18"/>
              </w:rPr>
            </w:pPr>
            <w:r w:rsidRPr="0091155F">
              <w:rPr>
                <w:sz w:val="18"/>
                <w:szCs w:val="18"/>
              </w:rPr>
              <w:t>Tranche Size</w:t>
            </w:r>
          </w:p>
        </w:tc>
        <w:tc>
          <w:tcPr>
            <w:tcW w:w="810" w:type="dxa"/>
            <w:noWrap/>
            <w:hideMark/>
          </w:tcPr>
          <w:p w14:paraId="7120DDCB"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1000</w:t>
            </w:r>
          </w:p>
        </w:tc>
        <w:tc>
          <w:tcPr>
            <w:tcW w:w="810" w:type="dxa"/>
            <w:noWrap/>
            <w:hideMark/>
          </w:tcPr>
          <w:p w14:paraId="14E999C1"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2000</w:t>
            </w:r>
          </w:p>
        </w:tc>
        <w:tc>
          <w:tcPr>
            <w:tcW w:w="810" w:type="dxa"/>
            <w:noWrap/>
            <w:hideMark/>
          </w:tcPr>
          <w:p w14:paraId="60BC2EE5"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3000</w:t>
            </w:r>
          </w:p>
        </w:tc>
        <w:tc>
          <w:tcPr>
            <w:tcW w:w="900" w:type="dxa"/>
            <w:noWrap/>
            <w:hideMark/>
          </w:tcPr>
          <w:p w14:paraId="2E5FE05C"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4000</w:t>
            </w:r>
          </w:p>
        </w:tc>
        <w:tc>
          <w:tcPr>
            <w:tcW w:w="810" w:type="dxa"/>
            <w:noWrap/>
            <w:hideMark/>
          </w:tcPr>
          <w:p w14:paraId="2F2EE2BE"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810" w:type="dxa"/>
            <w:noWrap/>
            <w:hideMark/>
          </w:tcPr>
          <w:p w14:paraId="34BD6B24"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6000</w:t>
            </w:r>
          </w:p>
        </w:tc>
        <w:tc>
          <w:tcPr>
            <w:tcW w:w="846" w:type="dxa"/>
            <w:noWrap/>
            <w:hideMark/>
          </w:tcPr>
          <w:p w14:paraId="61C40EEE"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7000</w:t>
            </w:r>
          </w:p>
        </w:tc>
        <w:tc>
          <w:tcPr>
            <w:tcW w:w="792" w:type="dxa"/>
            <w:noWrap/>
            <w:hideMark/>
          </w:tcPr>
          <w:p w14:paraId="397DABE9" w14:textId="77777777" w:rsidR="001D50F2" w:rsidRPr="0091155F" w:rsidRDefault="003A0A78" w:rsidP="0091155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8000</w:t>
            </w:r>
          </w:p>
        </w:tc>
      </w:tr>
      <w:tr w:rsidR="00AE5668" w:rsidRPr="001D50F2" w14:paraId="7E5F6D09" w14:textId="77777777" w:rsidTr="002C74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0F73C0A4" w14:textId="77777777" w:rsidR="003A0A78" w:rsidRPr="0091155F" w:rsidRDefault="003A0A78">
            <w:pPr>
              <w:rPr>
                <w:sz w:val="18"/>
                <w:szCs w:val="18"/>
              </w:rPr>
            </w:pPr>
            <w:r w:rsidRPr="0091155F">
              <w:rPr>
                <w:sz w:val="18"/>
                <w:szCs w:val="18"/>
              </w:rPr>
              <w:t>Avoided Energy Costs</w:t>
            </w:r>
          </w:p>
        </w:tc>
        <w:tc>
          <w:tcPr>
            <w:tcW w:w="810" w:type="dxa"/>
            <w:noWrap/>
            <w:vAlign w:val="center"/>
            <w:hideMark/>
          </w:tcPr>
          <w:p w14:paraId="66B206C1" w14:textId="20DEDFFC"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sz w:val="13"/>
                <w:szCs w:val="13"/>
              </w:rPr>
            </w:pPr>
            <w:r w:rsidRPr="00AE5668">
              <w:rPr>
                <w:b/>
                <w:sz w:val="13"/>
                <w:szCs w:val="13"/>
              </w:rPr>
              <w:t>REDACTED</w:t>
            </w:r>
          </w:p>
        </w:tc>
        <w:tc>
          <w:tcPr>
            <w:tcW w:w="810" w:type="dxa"/>
            <w:noWrap/>
            <w:vAlign w:val="center"/>
            <w:hideMark/>
          </w:tcPr>
          <w:p w14:paraId="56B9F646" w14:textId="4B766F28"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3729C54E" w14:textId="19933869"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900" w:type="dxa"/>
            <w:noWrap/>
            <w:vAlign w:val="center"/>
            <w:hideMark/>
          </w:tcPr>
          <w:p w14:paraId="58830E10" w14:textId="3FE7D6AE"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36BF55A7" w14:textId="3C23B671"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6545B956" w14:textId="411ACFBD"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46" w:type="dxa"/>
            <w:noWrap/>
            <w:vAlign w:val="center"/>
            <w:hideMark/>
          </w:tcPr>
          <w:p w14:paraId="3EE417FF" w14:textId="3CA05276"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792" w:type="dxa"/>
            <w:noWrap/>
            <w:vAlign w:val="center"/>
            <w:hideMark/>
          </w:tcPr>
          <w:p w14:paraId="4F795FDC" w14:textId="6D8859AC"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r>
      <w:tr w:rsidR="00AE5668" w:rsidRPr="001D50F2" w14:paraId="4D5D10B6" w14:textId="77777777" w:rsidTr="002C749C">
        <w:trPr>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2DE6E49D" w14:textId="32938D53" w:rsidR="00AE5668" w:rsidRPr="0091155F" w:rsidRDefault="00AE5668">
            <w:pPr>
              <w:rPr>
                <w:sz w:val="18"/>
                <w:szCs w:val="18"/>
              </w:rPr>
            </w:pPr>
            <w:r w:rsidRPr="0091155F">
              <w:rPr>
                <w:sz w:val="18"/>
                <w:szCs w:val="18"/>
              </w:rPr>
              <w:t xml:space="preserve">Deferred </w:t>
            </w:r>
            <w:r>
              <w:rPr>
                <w:sz w:val="18"/>
                <w:szCs w:val="18"/>
              </w:rPr>
              <w:t xml:space="preserve">Generation </w:t>
            </w:r>
            <w:r w:rsidRPr="0091155F">
              <w:rPr>
                <w:sz w:val="18"/>
                <w:szCs w:val="18"/>
              </w:rPr>
              <w:t>Capacity Costs</w:t>
            </w:r>
          </w:p>
        </w:tc>
        <w:tc>
          <w:tcPr>
            <w:tcW w:w="810" w:type="dxa"/>
            <w:noWrap/>
            <w:vAlign w:val="center"/>
            <w:hideMark/>
          </w:tcPr>
          <w:p w14:paraId="0DDD158F" w14:textId="22E50F67"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7590BD1A" w14:textId="488C95E5"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4CB38A74" w14:textId="545F43DD"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900" w:type="dxa"/>
            <w:noWrap/>
            <w:vAlign w:val="center"/>
            <w:hideMark/>
          </w:tcPr>
          <w:p w14:paraId="1ED34F4C" w14:textId="65BB4EAC"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B95D134" w14:textId="5DC61112"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D879361" w14:textId="1289D1A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46" w:type="dxa"/>
            <w:noWrap/>
            <w:vAlign w:val="center"/>
            <w:hideMark/>
          </w:tcPr>
          <w:p w14:paraId="452DC1C3" w14:textId="703F536C"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792" w:type="dxa"/>
            <w:noWrap/>
            <w:vAlign w:val="center"/>
            <w:hideMark/>
          </w:tcPr>
          <w:p w14:paraId="076F214C" w14:textId="4C3CE602"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r>
      <w:tr w:rsidR="00AE5668" w:rsidRPr="001D50F2" w14:paraId="34EAC4A9" w14:textId="77777777" w:rsidTr="002C74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0657077D" w14:textId="3B67F982" w:rsidR="00AE5668" w:rsidRPr="0091155F" w:rsidRDefault="00AE5668" w:rsidP="00D11F5F">
            <w:pPr>
              <w:rPr>
                <w:sz w:val="18"/>
                <w:szCs w:val="18"/>
              </w:rPr>
            </w:pPr>
            <w:r w:rsidRPr="0091155F">
              <w:rPr>
                <w:sz w:val="18"/>
                <w:szCs w:val="18"/>
              </w:rPr>
              <w:t xml:space="preserve">Deferred Transmission </w:t>
            </w:r>
            <w:r>
              <w:rPr>
                <w:sz w:val="18"/>
                <w:szCs w:val="18"/>
              </w:rPr>
              <w:t>Investment</w:t>
            </w:r>
          </w:p>
        </w:tc>
        <w:tc>
          <w:tcPr>
            <w:tcW w:w="810" w:type="dxa"/>
            <w:noWrap/>
            <w:vAlign w:val="center"/>
            <w:hideMark/>
          </w:tcPr>
          <w:p w14:paraId="53C6F311" w14:textId="5750BB9C"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1267B6E9" w14:textId="4F3A2431"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FE0B30E" w14:textId="048B4173"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900" w:type="dxa"/>
            <w:noWrap/>
            <w:vAlign w:val="center"/>
            <w:hideMark/>
          </w:tcPr>
          <w:p w14:paraId="5A41F295" w14:textId="6D5A7D7D"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F041772" w14:textId="438D24C3"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4B0437AC" w14:textId="18C82C87"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46" w:type="dxa"/>
            <w:noWrap/>
            <w:vAlign w:val="center"/>
            <w:hideMark/>
          </w:tcPr>
          <w:p w14:paraId="7BD8915B" w14:textId="5260E8CB"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792" w:type="dxa"/>
            <w:noWrap/>
            <w:vAlign w:val="center"/>
            <w:hideMark/>
          </w:tcPr>
          <w:p w14:paraId="3E4D4206" w14:textId="6ACFA4F6"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r>
      <w:tr w:rsidR="00AE5668" w:rsidRPr="001D50F2" w14:paraId="23EFB4C3" w14:textId="77777777" w:rsidTr="002C749C">
        <w:trPr>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2D875120" w14:textId="6FFCA675" w:rsidR="00AE5668" w:rsidRPr="0091155F" w:rsidRDefault="00AE5668">
            <w:pPr>
              <w:rPr>
                <w:sz w:val="18"/>
                <w:szCs w:val="18"/>
              </w:rPr>
            </w:pPr>
            <w:r>
              <w:rPr>
                <w:sz w:val="18"/>
                <w:szCs w:val="18"/>
              </w:rPr>
              <w:t>Reduced</w:t>
            </w:r>
            <w:r w:rsidRPr="0091155F">
              <w:rPr>
                <w:sz w:val="18"/>
                <w:szCs w:val="18"/>
              </w:rPr>
              <w:t xml:space="preserve"> Distribution Losses</w:t>
            </w:r>
          </w:p>
        </w:tc>
        <w:tc>
          <w:tcPr>
            <w:tcW w:w="810" w:type="dxa"/>
            <w:noWrap/>
            <w:vAlign w:val="center"/>
            <w:hideMark/>
          </w:tcPr>
          <w:p w14:paraId="3B400846" w14:textId="3AF85CD1"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28A427E" w14:textId="650D838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2D25A62E" w14:textId="527BEECB"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900" w:type="dxa"/>
            <w:noWrap/>
            <w:vAlign w:val="center"/>
            <w:hideMark/>
          </w:tcPr>
          <w:p w14:paraId="1864F45A" w14:textId="7784BB4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73FED8AA" w14:textId="3A11BBAF"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12CAE5E6" w14:textId="5559EC15"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846" w:type="dxa"/>
            <w:noWrap/>
            <w:vAlign w:val="center"/>
            <w:hideMark/>
          </w:tcPr>
          <w:p w14:paraId="0CE270DD" w14:textId="75C2D4B7"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c>
          <w:tcPr>
            <w:tcW w:w="792" w:type="dxa"/>
            <w:noWrap/>
            <w:vAlign w:val="center"/>
            <w:hideMark/>
          </w:tcPr>
          <w:p w14:paraId="66108CA0" w14:textId="48703F82"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AE5668">
              <w:rPr>
                <w:b/>
                <w:sz w:val="13"/>
                <w:szCs w:val="13"/>
              </w:rPr>
              <w:t>REDACTED</w:t>
            </w:r>
          </w:p>
        </w:tc>
      </w:tr>
      <w:tr w:rsidR="00AE5668" w:rsidRPr="001D50F2" w14:paraId="76782C89" w14:textId="77777777" w:rsidTr="00AE5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3DF66020" w14:textId="76E23037" w:rsidR="001D50F2" w:rsidRPr="0091155F" w:rsidRDefault="009F35E0" w:rsidP="00D11F5F">
            <w:pPr>
              <w:rPr>
                <w:bCs w:val="0"/>
                <w:sz w:val="18"/>
                <w:szCs w:val="18"/>
              </w:rPr>
            </w:pPr>
            <w:r w:rsidRPr="0091155F">
              <w:rPr>
                <w:bCs w:val="0"/>
                <w:sz w:val="18"/>
                <w:szCs w:val="18"/>
              </w:rPr>
              <w:t xml:space="preserve">Distribution </w:t>
            </w:r>
            <w:r w:rsidR="00D11F5F" w:rsidRPr="0091155F">
              <w:rPr>
                <w:bCs w:val="0"/>
                <w:sz w:val="18"/>
                <w:szCs w:val="18"/>
              </w:rPr>
              <w:t>Operat</w:t>
            </w:r>
            <w:r w:rsidR="00D11F5F">
              <w:rPr>
                <w:bCs w:val="0"/>
                <w:sz w:val="18"/>
                <w:szCs w:val="18"/>
              </w:rPr>
              <w:t>ions</w:t>
            </w:r>
            <w:r w:rsidR="00D11F5F" w:rsidRPr="0091155F">
              <w:rPr>
                <w:bCs w:val="0"/>
                <w:sz w:val="18"/>
                <w:szCs w:val="18"/>
              </w:rPr>
              <w:t xml:space="preserve"> </w:t>
            </w:r>
            <w:r w:rsidRPr="0091155F">
              <w:rPr>
                <w:bCs w:val="0"/>
                <w:sz w:val="18"/>
                <w:szCs w:val="18"/>
              </w:rPr>
              <w:t>Costs</w:t>
            </w:r>
          </w:p>
        </w:tc>
        <w:tc>
          <w:tcPr>
            <w:tcW w:w="810" w:type="dxa"/>
            <w:shd w:val="clear" w:color="auto" w:fill="0070C0"/>
            <w:noWrap/>
          </w:tcPr>
          <w:p w14:paraId="2FD289D0"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shd w:val="clear" w:color="auto" w:fill="0070C0"/>
            <w:noWrap/>
          </w:tcPr>
          <w:p w14:paraId="3AFDB067"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shd w:val="clear" w:color="auto" w:fill="0070C0"/>
            <w:noWrap/>
          </w:tcPr>
          <w:p w14:paraId="31652FF8"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900" w:type="dxa"/>
            <w:shd w:val="clear" w:color="auto" w:fill="0070C0"/>
            <w:noWrap/>
          </w:tcPr>
          <w:p w14:paraId="11EDFAB0"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shd w:val="clear" w:color="auto" w:fill="0070C0"/>
            <w:noWrap/>
          </w:tcPr>
          <w:p w14:paraId="71B6F140"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shd w:val="clear" w:color="auto" w:fill="0070C0"/>
            <w:noWrap/>
          </w:tcPr>
          <w:p w14:paraId="125210C0"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46" w:type="dxa"/>
            <w:shd w:val="clear" w:color="auto" w:fill="0070C0"/>
            <w:noWrap/>
          </w:tcPr>
          <w:p w14:paraId="715949D3"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792" w:type="dxa"/>
            <w:shd w:val="clear" w:color="auto" w:fill="0070C0"/>
            <w:noWrap/>
          </w:tcPr>
          <w:p w14:paraId="097206B6" w14:textId="77777777" w:rsidR="001D50F2" w:rsidRPr="0091155F" w:rsidRDefault="001D50F2" w:rsidP="0091155F">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AE5668" w:rsidRPr="001D50F2" w14:paraId="0D222FAB" w14:textId="77777777" w:rsidTr="00AE5668">
        <w:trPr>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7B517B5A" w14:textId="0647FF97" w:rsidR="001D50F2" w:rsidRPr="0091155F" w:rsidRDefault="00D11F5F">
            <w:pPr>
              <w:rPr>
                <w:bCs w:val="0"/>
                <w:sz w:val="18"/>
                <w:szCs w:val="18"/>
              </w:rPr>
            </w:pPr>
            <w:r>
              <w:rPr>
                <w:bCs w:val="0"/>
                <w:sz w:val="18"/>
                <w:szCs w:val="18"/>
              </w:rPr>
              <w:t xml:space="preserve">Ancillary Services - </w:t>
            </w:r>
            <w:r w:rsidR="009F35E0" w:rsidRPr="0091155F">
              <w:rPr>
                <w:bCs w:val="0"/>
                <w:sz w:val="18"/>
                <w:szCs w:val="18"/>
              </w:rPr>
              <w:t xml:space="preserve">Reactive Supply and Voltage </w:t>
            </w:r>
            <w:r w:rsidR="00A64AF9">
              <w:rPr>
                <w:bCs w:val="0"/>
                <w:sz w:val="18"/>
                <w:szCs w:val="18"/>
              </w:rPr>
              <w:t>Control</w:t>
            </w:r>
          </w:p>
        </w:tc>
        <w:tc>
          <w:tcPr>
            <w:tcW w:w="810" w:type="dxa"/>
            <w:shd w:val="clear" w:color="auto" w:fill="0070C0"/>
            <w:noWrap/>
          </w:tcPr>
          <w:p w14:paraId="7FF627FF"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21696F07"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64D53017"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00" w:type="dxa"/>
            <w:shd w:val="clear" w:color="auto" w:fill="0070C0"/>
            <w:noWrap/>
          </w:tcPr>
          <w:p w14:paraId="61A2C64F"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3C9EAA61"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2DFB115F"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46" w:type="dxa"/>
            <w:shd w:val="clear" w:color="auto" w:fill="0070C0"/>
            <w:noWrap/>
          </w:tcPr>
          <w:p w14:paraId="13D643F4"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792" w:type="dxa"/>
            <w:shd w:val="clear" w:color="auto" w:fill="0070C0"/>
            <w:noWrap/>
          </w:tcPr>
          <w:p w14:paraId="1DF9A456" w14:textId="77777777" w:rsidR="001D50F2" w:rsidRPr="0018481C" w:rsidRDefault="001D50F2" w:rsidP="0091155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AE5668" w:rsidRPr="001D50F2" w14:paraId="79C017A1" w14:textId="77777777" w:rsidTr="002C74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738B5DFA" w14:textId="21A97A09" w:rsidR="00AE5668" w:rsidRPr="0091155F" w:rsidRDefault="00AE5668">
            <w:pPr>
              <w:rPr>
                <w:sz w:val="18"/>
                <w:szCs w:val="18"/>
              </w:rPr>
            </w:pPr>
            <w:r>
              <w:rPr>
                <w:sz w:val="18"/>
                <w:szCs w:val="18"/>
              </w:rPr>
              <w:t>Generation Remix Costs</w:t>
            </w:r>
          </w:p>
        </w:tc>
        <w:tc>
          <w:tcPr>
            <w:tcW w:w="810" w:type="dxa"/>
            <w:noWrap/>
            <w:vAlign w:val="center"/>
            <w:hideMark/>
          </w:tcPr>
          <w:p w14:paraId="44A13C20" w14:textId="4E6770AF"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10" w:type="dxa"/>
            <w:noWrap/>
            <w:vAlign w:val="center"/>
            <w:hideMark/>
          </w:tcPr>
          <w:p w14:paraId="788C7EA6" w14:textId="715ABB51"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10" w:type="dxa"/>
            <w:noWrap/>
            <w:vAlign w:val="center"/>
            <w:hideMark/>
          </w:tcPr>
          <w:p w14:paraId="40E39D24" w14:textId="40D11926"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900" w:type="dxa"/>
            <w:noWrap/>
            <w:vAlign w:val="center"/>
            <w:hideMark/>
          </w:tcPr>
          <w:p w14:paraId="77104B10" w14:textId="30BE90E9"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10" w:type="dxa"/>
            <w:noWrap/>
            <w:vAlign w:val="center"/>
            <w:hideMark/>
          </w:tcPr>
          <w:p w14:paraId="471C8E9C" w14:textId="19CA06C6"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10" w:type="dxa"/>
            <w:noWrap/>
            <w:vAlign w:val="center"/>
            <w:hideMark/>
          </w:tcPr>
          <w:p w14:paraId="2D97E2CB" w14:textId="7672A262"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46" w:type="dxa"/>
            <w:noWrap/>
            <w:vAlign w:val="center"/>
            <w:hideMark/>
          </w:tcPr>
          <w:p w14:paraId="36E463B5" w14:textId="26CC7C3E"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792" w:type="dxa"/>
            <w:noWrap/>
            <w:vAlign w:val="center"/>
            <w:hideMark/>
          </w:tcPr>
          <w:p w14:paraId="72D1E80C" w14:textId="0DC72CEB"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r>
      <w:tr w:rsidR="00AE5668" w:rsidRPr="001D50F2" w14:paraId="601DDC30" w14:textId="77777777" w:rsidTr="002C749C">
        <w:trPr>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595784AE" w14:textId="604AB049" w:rsidR="00AE5668" w:rsidRDefault="00AE5668">
            <w:pPr>
              <w:rPr>
                <w:sz w:val="18"/>
                <w:szCs w:val="18"/>
              </w:rPr>
            </w:pPr>
            <w:r w:rsidRPr="0091155F">
              <w:rPr>
                <w:sz w:val="18"/>
                <w:szCs w:val="18"/>
              </w:rPr>
              <w:t>Support Capacity</w:t>
            </w:r>
            <w:r>
              <w:rPr>
                <w:sz w:val="18"/>
                <w:szCs w:val="18"/>
              </w:rPr>
              <w:t xml:space="preserve"> (Flexible Reserves)</w:t>
            </w:r>
          </w:p>
        </w:tc>
        <w:tc>
          <w:tcPr>
            <w:tcW w:w="810" w:type="dxa"/>
            <w:noWrap/>
            <w:vAlign w:val="center"/>
          </w:tcPr>
          <w:p w14:paraId="0D89F788" w14:textId="2D12F76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810" w:type="dxa"/>
            <w:noWrap/>
            <w:vAlign w:val="center"/>
          </w:tcPr>
          <w:p w14:paraId="00E9DA9A" w14:textId="4BAA27EC"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810" w:type="dxa"/>
            <w:noWrap/>
            <w:vAlign w:val="center"/>
          </w:tcPr>
          <w:p w14:paraId="2673F048" w14:textId="59CA6C17"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900" w:type="dxa"/>
            <w:noWrap/>
            <w:vAlign w:val="center"/>
          </w:tcPr>
          <w:p w14:paraId="48D5C5AF" w14:textId="45A182A6"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810" w:type="dxa"/>
            <w:noWrap/>
            <w:vAlign w:val="center"/>
          </w:tcPr>
          <w:p w14:paraId="4C0DB383" w14:textId="601E016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810" w:type="dxa"/>
            <w:noWrap/>
            <w:vAlign w:val="center"/>
          </w:tcPr>
          <w:p w14:paraId="44AC7E28" w14:textId="7A28CA38"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846" w:type="dxa"/>
            <w:noWrap/>
            <w:vAlign w:val="center"/>
          </w:tcPr>
          <w:p w14:paraId="2870AF02" w14:textId="09E2C593"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c>
          <w:tcPr>
            <w:tcW w:w="792" w:type="dxa"/>
            <w:noWrap/>
            <w:vAlign w:val="center"/>
          </w:tcPr>
          <w:p w14:paraId="05F6977A" w14:textId="5BC25C36" w:rsidR="00AE5668" w:rsidRPr="00AE5668" w:rsidRDefault="00AE5668" w:rsidP="002C749C">
            <w:pPr>
              <w:jc w:val="center"/>
              <w:cnfStyle w:val="000000000000" w:firstRow="0" w:lastRow="0" w:firstColumn="0" w:lastColumn="0" w:oddVBand="0" w:evenVBand="0" w:oddHBand="0" w:evenHBand="0" w:firstRowFirstColumn="0" w:firstRowLastColumn="0" w:lastRowFirstColumn="0" w:lastRowLastColumn="0"/>
              <w:rPr>
                <w:color w:val="FF0000"/>
                <w:sz w:val="18"/>
              </w:rPr>
            </w:pPr>
            <w:r w:rsidRPr="00AE5668">
              <w:rPr>
                <w:b/>
                <w:sz w:val="13"/>
                <w:szCs w:val="13"/>
              </w:rPr>
              <w:t>REDACTED</w:t>
            </w:r>
          </w:p>
        </w:tc>
      </w:tr>
      <w:tr w:rsidR="00AE5668" w:rsidRPr="001D50F2" w14:paraId="4A64BDE0" w14:textId="77777777" w:rsidTr="002C74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74951878" w14:textId="77777777" w:rsidR="00AE5668" w:rsidRPr="0091155F" w:rsidRDefault="00AE5668">
            <w:pPr>
              <w:rPr>
                <w:sz w:val="18"/>
                <w:szCs w:val="18"/>
              </w:rPr>
            </w:pPr>
            <w:r w:rsidRPr="0091155F">
              <w:rPr>
                <w:sz w:val="18"/>
                <w:szCs w:val="18"/>
              </w:rPr>
              <w:t>Bottom Out Costs</w:t>
            </w:r>
          </w:p>
        </w:tc>
        <w:tc>
          <w:tcPr>
            <w:tcW w:w="810" w:type="dxa"/>
            <w:noWrap/>
            <w:vAlign w:val="center"/>
            <w:hideMark/>
          </w:tcPr>
          <w:p w14:paraId="16D8972D" w14:textId="4A586C37"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0E2C5C43" w14:textId="3D3C69B3"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56DC31AF" w14:textId="51AFCB32"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900" w:type="dxa"/>
            <w:noWrap/>
            <w:vAlign w:val="center"/>
            <w:hideMark/>
          </w:tcPr>
          <w:p w14:paraId="586ADB04" w14:textId="60132ED4"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AE5668">
              <w:rPr>
                <w:b/>
                <w:sz w:val="13"/>
                <w:szCs w:val="13"/>
              </w:rPr>
              <w:t>REDACTED</w:t>
            </w:r>
          </w:p>
        </w:tc>
        <w:tc>
          <w:tcPr>
            <w:tcW w:w="810" w:type="dxa"/>
            <w:noWrap/>
            <w:vAlign w:val="center"/>
            <w:hideMark/>
          </w:tcPr>
          <w:p w14:paraId="16611D7E" w14:textId="5AF869E8"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10" w:type="dxa"/>
            <w:noWrap/>
            <w:vAlign w:val="center"/>
            <w:hideMark/>
          </w:tcPr>
          <w:p w14:paraId="26B539F9" w14:textId="0703E2E5"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846" w:type="dxa"/>
            <w:noWrap/>
            <w:vAlign w:val="center"/>
            <w:hideMark/>
          </w:tcPr>
          <w:p w14:paraId="117DDF13" w14:textId="3B24171A"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c>
          <w:tcPr>
            <w:tcW w:w="792" w:type="dxa"/>
            <w:noWrap/>
            <w:vAlign w:val="center"/>
            <w:hideMark/>
          </w:tcPr>
          <w:p w14:paraId="24E398AC" w14:textId="729704DA" w:rsidR="00AE566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AE5668">
              <w:rPr>
                <w:b/>
                <w:sz w:val="13"/>
                <w:szCs w:val="13"/>
              </w:rPr>
              <w:t>REDACTED</w:t>
            </w:r>
          </w:p>
        </w:tc>
      </w:tr>
      <w:tr w:rsidR="00AE5668" w:rsidRPr="001D50F2" w14:paraId="51D112C9" w14:textId="77777777" w:rsidTr="00AE5668">
        <w:trPr>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15D5077B" w14:textId="2525444D" w:rsidR="003C27A0" w:rsidRPr="0091155F" w:rsidRDefault="003F3C7A">
            <w:pPr>
              <w:rPr>
                <w:bCs w:val="0"/>
                <w:sz w:val="18"/>
                <w:szCs w:val="18"/>
              </w:rPr>
            </w:pPr>
            <w:r>
              <w:rPr>
                <w:bCs w:val="0"/>
                <w:sz w:val="18"/>
                <w:szCs w:val="18"/>
              </w:rPr>
              <w:t>Long Term Service Agreement</w:t>
            </w:r>
            <w:r w:rsidRPr="0091155F">
              <w:rPr>
                <w:bCs w:val="0"/>
                <w:sz w:val="18"/>
                <w:szCs w:val="18"/>
              </w:rPr>
              <w:t xml:space="preserve"> </w:t>
            </w:r>
            <w:r>
              <w:rPr>
                <w:bCs w:val="0"/>
                <w:sz w:val="18"/>
                <w:szCs w:val="18"/>
              </w:rPr>
              <w:t xml:space="preserve">(LTSA) </w:t>
            </w:r>
            <w:r w:rsidR="003C27A0" w:rsidRPr="0091155F">
              <w:rPr>
                <w:bCs w:val="0"/>
                <w:sz w:val="18"/>
                <w:szCs w:val="18"/>
              </w:rPr>
              <w:t>Maintenance Costs</w:t>
            </w:r>
          </w:p>
        </w:tc>
        <w:tc>
          <w:tcPr>
            <w:tcW w:w="810" w:type="dxa"/>
            <w:shd w:val="clear" w:color="auto" w:fill="0070C0"/>
            <w:noWrap/>
          </w:tcPr>
          <w:p w14:paraId="288CA9A4"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3754B5A5"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47C95634"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shd w:val="clear" w:color="auto" w:fill="0070C0"/>
            <w:noWrap/>
          </w:tcPr>
          <w:p w14:paraId="11FCEBE0"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2EF1A1D4"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06DA175D"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46" w:type="dxa"/>
            <w:shd w:val="clear" w:color="auto" w:fill="0070C0"/>
            <w:noWrap/>
          </w:tcPr>
          <w:p w14:paraId="77BEF9FD"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792" w:type="dxa"/>
            <w:shd w:val="clear" w:color="auto" w:fill="0070C0"/>
            <w:noWrap/>
          </w:tcPr>
          <w:p w14:paraId="74894961" w14:textId="77777777" w:rsidR="003C27A0" w:rsidRPr="003A0A78"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AE5668" w:rsidRPr="001D50F2" w14:paraId="3BAD7104" w14:textId="77777777" w:rsidTr="00AE5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5CCA8F4C" w14:textId="54FE6BD9" w:rsidR="003C27A0" w:rsidRPr="0091155F" w:rsidRDefault="00D11F5F" w:rsidP="00D11F5F">
            <w:pPr>
              <w:rPr>
                <w:bCs w:val="0"/>
                <w:sz w:val="18"/>
                <w:szCs w:val="18"/>
              </w:rPr>
            </w:pPr>
            <w:r>
              <w:rPr>
                <w:bCs w:val="0"/>
                <w:sz w:val="18"/>
                <w:szCs w:val="18"/>
              </w:rPr>
              <w:t xml:space="preserve">Target </w:t>
            </w:r>
            <w:r w:rsidR="003C27A0" w:rsidRPr="0091155F">
              <w:rPr>
                <w:bCs w:val="0"/>
                <w:sz w:val="18"/>
                <w:szCs w:val="18"/>
              </w:rPr>
              <w:t>Reserve Margin Costs</w:t>
            </w:r>
          </w:p>
        </w:tc>
        <w:tc>
          <w:tcPr>
            <w:tcW w:w="810" w:type="dxa"/>
            <w:shd w:val="clear" w:color="auto" w:fill="0070C0"/>
            <w:noWrap/>
          </w:tcPr>
          <w:p w14:paraId="61E82E20"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0070C0"/>
            <w:noWrap/>
          </w:tcPr>
          <w:p w14:paraId="233E6176"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0070C0"/>
            <w:noWrap/>
          </w:tcPr>
          <w:p w14:paraId="2B2DAB8F"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shd w:val="clear" w:color="auto" w:fill="0070C0"/>
            <w:noWrap/>
          </w:tcPr>
          <w:p w14:paraId="121B4F90"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0070C0"/>
            <w:noWrap/>
          </w:tcPr>
          <w:p w14:paraId="3CC80D25"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shd w:val="clear" w:color="auto" w:fill="0070C0"/>
            <w:noWrap/>
          </w:tcPr>
          <w:p w14:paraId="61AD295E"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46" w:type="dxa"/>
            <w:shd w:val="clear" w:color="auto" w:fill="0070C0"/>
            <w:noWrap/>
          </w:tcPr>
          <w:p w14:paraId="4B18EEB0"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792" w:type="dxa"/>
            <w:shd w:val="clear" w:color="auto" w:fill="0070C0"/>
            <w:noWrap/>
          </w:tcPr>
          <w:p w14:paraId="1689B33A" w14:textId="77777777" w:rsidR="003C27A0" w:rsidRPr="0091155F" w:rsidRDefault="003C27A0" w:rsidP="001D50F2">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AE5668" w:rsidRPr="001D50F2" w14:paraId="7EE51698" w14:textId="77777777" w:rsidTr="00AE5668">
        <w:trPr>
          <w:trHeight w:val="300"/>
        </w:trPr>
        <w:tc>
          <w:tcPr>
            <w:cnfStyle w:val="001000000000" w:firstRow="0" w:lastRow="0" w:firstColumn="1" w:lastColumn="0" w:oddVBand="0" w:evenVBand="0" w:oddHBand="0" w:evenHBand="0" w:firstRowFirstColumn="0" w:firstRowLastColumn="0" w:lastRowFirstColumn="0" w:lastRowLastColumn="0"/>
            <w:tcW w:w="2988" w:type="dxa"/>
            <w:noWrap/>
          </w:tcPr>
          <w:p w14:paraId="07D58218" w14:textId="5B928984" w:rsidR="003C27A0" w:rsidRPr="0091155F" w:rsidRDefault="00D11F5F">
            <w:pPr>
              <w:rPr>
                <w:bCs w:val="0"/>
                <w:sz w:val="18"/>
                <w:szCs w:val="18"/>
              </w:rPr>
            </w:pPr>
            <w:r>
              <w:rPr>
                <w:bCs w:val="0"/>
                <w:sz w:val="18"/>
                <w:szCs w:val="18"/>
              </w:rPr>
              <w:t>Program and Administration</w:t>
            </w:r>
            <w:r w:rsidRPr="0091155F">
              <w:rPr>
                <w:bCs w:val="0"/>
                <w:sz w:val="18"/>
                <w:szCs w:val="18"/>
              </w:rPr>
              <w:t xml:space="preserve"> </w:t>
            </w:r>
            <w:r w:rsidR="003C27A0" w:rsidRPr="0091155F">
              <w:rPr>
                <w:bCs w:val="0"/>
                <w:sz w:val="18"/>
                <w:szCs w:val="18"/>
              </w:rPr>
              <w:t>Costs</w:t>
            </w:r>
          </w:p>
        </w:tc>
        <w:tc>
          <w:tcPr>
            <w:tcW w:w="810" w:type="dxa"/>
            <w:shd w:val="clear" w:color="auto" w:fill="0070C0"/>
            <w:noWrap/>
          </w:tcPr>
          <w:p w14:paraId="24EC8BD1"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21BC9423"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5A8BD9EE"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shd w:val="clear" w:color="auto" w:fill="0070C0"/>
            <w:noWrap/>
          </w:tcPr>
          <w:p w14:paraId="423469C9"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shd w:val="clear" w:color="auto" w:fill="0070C0"/>
            <w:noWrap/>
          </w:tcPr>
          <w:p w14:paraId="6FCB1431"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10" w:type="dxa"/>
            <w:shd w:val="clear" w:color="auto" w:fill="0070C0"/>
            <w:noWrap/>
          </w:tcPr>
          <w:p w14:paraId="5CD28346"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46" w:type="dxa"/>
            <w:shd w:val="clear" w:color="auto" w:fill="0070C0"/>
            <w:noWrap/>
          </w:tcPr>
          <w:p w14:paraId="13030ECA"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792" w:type="dxa"/>
            <w:shd w:val="clear" w:color="auto" w:fill="0070C0"/>
            <w:noWrap/>
          </w:tcPr>
          <w:p w14:paraId="775B269C" w14:textId="77777777" w:rsidR="003C27A0" w:rsidRPr="0091155F" w:rsidRDefault="003C27A0" w:rsidP="001D50F2">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AE5668" w:rsidRPr="001D50F2" w14:paraId="085E3100" w14:textId="77777777" w:rsidTr="002C74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14:paraId="35A0C306" w14:textId="77777777" w:rsidR="003A0A78" w:rsidRPr="0091155F" w:rsidRDefault="003A0A78">
            <w:pPr>
              <w:rPr>
                <w:sz w:val="18"/>
                <w:szCs w:val="18"/>
              </w:rPr>
            </w:pPr>
            <w:r w:rsidRPr="0091155F">
              <w:rPr>
                <w:sz w:val="18"/>
                <w:szCs w:val="18"/>
              </w:rPr>
              <w:t>Total Net Avoided Cost</w:t>
            </w:r>
          </w:p>
        </w:tc>
        <w:tc>
          <w:tcPr>
            <w:tcW w:w="810" w:type="dxa"/>
            <w:noWrap/>
            <w:vAlign w:val="center"/>
            <w:hideMark/>
          </w:tcPr>
          <w:p w14:paraId="7366961E" w14:textId="26A2192E"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810" w:type="dxa"/>
            <w:noWrap/>
            <w:vAlign w:val="center"/>
            <w:hideMark/>
          </w:tcPr>
          <w:p w14:paraId="4199EE0A" w14:textId="33ACC876"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810" w:type="dxa"/>
            <w:noWrap/>
            <w:vAlign w:val="center"/>
            <w:hideMark/>
          </w:tcPr>
          <w:p w14:paraId="494DDA1D" w14:textId="06932D0A"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900" w:type="dxa"/>
            <w:noWrap/>
            <w:vAlign w:val="center"/>
            <w:hideMark/>
          </w:tcPr>
          <w:p w14:paraId="4AB55444" w14:textId="74AE3D32"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810" w:type="dxa"/>
            <w:noWrap/>
            <w:vAlign w:val="center"/>
            <w:hideMark/>
          </w:tcPr>
          <w:p w14:paraId="296E845B" w14:textId="3FDB0A1A"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810" w:type="dxa"/>
            <w:noWrap/>
            <w:vAlign w:val="center"/>
            <w:hideMark/>
          </w:tcPr>
          <w:p w14:paraId="0FD84DC2" w14:textId="511F5C1D"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846" w:type="dxa"/>
            <w:noWrap/>
            <w:vAlign w:val="center"/>
            <w:hideMark/>
          </w:tcPr>
          <w:p w14:paraId="782BD5E1" w14:textId="27648C09"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c>
          <w:tcPr>
            <w:tcW w:w="792" w:type="dxa"/>
            <w:noWrap/>
            <w:vAlign w:val="center"/>
            <w:hideMark/>
          </w:tcPr>
          <w:p w14:paraId="44B900BD" w14:textId="575D0DE9" w:rsidR="003A0A78" w:rsidRPr="00AE5668" w:rsidRDefault="00AE5668" w:rsidP="002C749C">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E5668">
              <w:rPr>
                <w:b/>
                <w:sz w:val="13"/>
                <w:szCs w:val="13"/>
              </w:rPr>
              <w:t>REDACTED</w:t>
            </w:r>
          </w:p>
        </w:tc>
      </w:tr>
    </w:tbl>
    <w:p w14:paraId="5F3C8F64" w14:textId="77777777" w:rsidR="000643EF" w:rsidRDefault="000643EF" w:rsidP="000643EF"/>
    <w:p w14:paraId="6A6FC75D" w14:textId="77777777" w:rsidR="000643EF" w:rsidRDefault="000643EF">
      <w:r>
        <w:br w:type="page"/>
      </w:r>
    </w:p>
    <w:p w14:paraId="062AE645" w14:textId="74C5FC5F" w:rsidR="003A0A78" w:rsidRDefault="000643EF" w:rsidP="000643EF">
      <w:pPr>
        <w:ind w:firstLine="720"/>
      </w:pPr>
      <w:r>
        <w:lastRenderedPageBreak/>
        <w:t>Figure 1 provides a pictorial representation of the results shown in Table 1.</w:t>
      </w:r>
    </w:p>
    <w:p w14:paraId="36D09D57" w14:textId="132E67C7" w:rsidR="003A0A78" w:rsidRDefault="000643EF" w:rsidP="000643EF">
      <w:r w:rsidRPr="004939B8">
        <w:rPr>
          <w:b/>
        </w:rPr>
        <w:t>Figure 1: Levelized Costs and Benefits of Distributed Solar Generation ($/MWH)</w:t>
      </w:r>
    </w:p>
    <w:tbl>
      <w:tblPr>
        <w:tblStyle w:val="TableGrid"/>
        <w:tblW w:w="0" w:type="auto"/>
        <w:tblLook w:val="04A0" w:firstRow="1" w:lastRow="0" w:firstColumn="1" w:lastColumn="0" w:noHBand="0" w:noVBand="1"/>
      </w:tblPr>
      <w:tblGrid>
        <w:gridCol w:w="9576"/>
      </w:tblGrid>
      <w:tr w:rsidR="004939B8" w14:paraId="5E44E2B0" w14:textId="77777777" w:rsidTr="004939B8">
        <w:tc>
          <w:tcPr>
            <w:tcW w:w="9576" w:type="dxa"/>
          </w:tcPr>
          <w:p w14:paraId="13B96C48" w14:textId="77777777" w:rsidR="004939B8" w:rsidRDefault="004939B8" w:rsidP="008110CF">
            <w:pPr>
              <w:jc w:val="center"/>
            </w:pPr>
          </w:p>
          <w:p w14:paraId="4729DED3" w14:textId="77777777" w:rsidR="004939B8" w:rsidRPr="004939B8" w:rsidRDefault="004939B8" w:rsidP="008110CF">
            <w:pPr>
              <w:jc w:val="center"/>
              <w:rPr>
                <w:sz w:val="48"/>
                <w:szCs w:val="48"/>
              </w:rPr>
            </w:pPr>
          </w:p>
          <w:p w14:paraId="7EE2592F" w14:textId="77777777" w:rsidR="004939B8" w:rsidRPr="004939B8" w:rsidRDefault="004939B8" w:rsidP="008110CF">
            <w:pPr>
              <w:jc w:val="center"/>
              <w:rPr>
                <w:sz w:val="48"/>
                <w:szCs w:val="48"/>
              </w:rPr>
            </w:pPr>
          </w:p>
          <w:p w14:paraId="4C845796" w14:textId="77777777" w:rsidR="004939B8" w:rsidRPr="004939B8" w:rsidRDefault="004939B8" w:rsidP="008110CF">
            <w:pPr>
              <w:jc w:val="center"/>
              <w:rPr>
                <w:sz w:val="48"/>
                <w:szCs w:val="48"/>
              </w:rPr>
            </w:pPr>
          </w:p>
          <w:p w14:paraId="0C20E48C" w14:textId="77777777" w:rsidR="004939B8" w:rsidRPr="004939B8" w:rsidRDefault="004939B8" w:rsidP="008110CF">
            <w:pPr>
              <w:jc w:val="center"/>
              <w:rPr>
                <w:sz w:val="48"/>
                <w:szCs w:val="48"/>
              </w:rPr>
            </w:pPr>
          </w:p>
          <w:p w14:paraId="64EC742C" w14:textId="703FDDDD" w:rsidR="004939B8" w:rsidRPr="004939B8" w:rsidRDefault="004939B8" w:rsidP="008110CF">
            <w:pPr>
              <w:jc w:val="center"/>
              <w:rPr>
                <w:b/>
                <w:sz w:val="48"/>
                <w:szCs w:val="48"/>
              </w:rPr>
            </w:pPr>
            <w:r w:rsidRPr="004939B8">
              <w:rPr>
                <w:b/>
                <w:sz w:val="48"/>
                <w:szCs w:val="48"/>
              </w:rPr>
              <w:t>REDACTED</w:t>
            </w:r>
          </w:p>
          <w:p w14:paraId="112DC574" w14:textId="77777777" w:rsidR="004939B8" w:rsidRPr="004939B8" w:rsidRDefault="004939B8" w:rsidP="008110CF">
            <w:pPr>
              <w:jc w:val="center"/>
              <w:rPr>
                <w:sz w:val="48"/>
                <w:szCs w:val="48"/>
              </w:rPr>
            </w:pPr>
          </w:p>
          <w:p w14:paraId="69E912D0" w14:textId="77777777" w:rsidR="004939B8" w:rsidRPr="004939B8" w:rsidRDefault="004939B8" w:rsidP="008110CF">
            <w:pPr>
              <w:jc w:val="center"/>
              <w:rPr>
                <w:sz w:val="48"/>
                <w:szCs w:val="48"/>
              </w:rPr>
            </w:pPr>
          </w:p>
          <w:p w14:paraId="2D83ABF3" w14:textId="77777777" w:rsidR="004939B8" w:rsidRPr="004939B8" w:rsidRDefault="004939B8" w:rsidP="008110CF">
            <w:pPr>
              <w:jc w:val="center"/>
              <w:rPr>
                <w:sz w:val="48"/>
                <w:szCs w:val="48"/>
              </w:rPr>
            </w:pPr>
          </w:p>
          <w:p w14:paraId="2F6862D1" w14:textId="77777777" w:rsidR="004939B8" w:rsidRPr="004939B8" w:rsidRDefault="004939B8" w:rsidP="008110CF">
            <w:pPr>
              <w:jc w:val="center"/>
              <w:rPr>
                <w:sz w:val="48"/>
                <w:szCs w:val="48"/>
              </w:rPr>
            </w:pPr>
          </w:p>
          <w:p w14:paraId="52A3C816" w14:textId="77777777" w:rsidR="004939B8" w:rsidRPr="004939B8" w:rsidRDefault="004939B8" w:rsidP="008110CF">
            <w:pPr>
              <w:jc w:val="center"/>
              <w:rPr>
                <w:sz w:val="48"/>
                <w:szCs w:val="48"/>
              </w:rPr>
            </w:pPr>
          </w:p>
          <w:p w14:paraId="396B23B0" w14:textId="77777777" w:rsidR="004939B8" w:rsidRDefault="004939B8" w:rsidP="008110CF">
            <w:pPr>
              <w:jc w:val="center"/>
            </w:pPr>
          </w:p>
        </w:tc>
      </w:tr>
    </w:tbl>
    <w:p w14:paraId="67D8F02B" w14:textId="77777777" w:rsidR="0052097F" w:rsidRDefault="0052097F" w:rsidP="003A0A78">
      <w:pPr>
        <w:pStyle w:val="ListParagraph"/>
        <w:ind w:left="0" w:firstLine="720"/>
      </w:pPr>
    </w:p>
    <w:p w14:paraId="3DBB8833" w14:textId="138C081F" w:rsidR="00853D69" w:rsidRDefault="00301D1D" w:rsidP="00AA695D">
      <w:pPr>
        <w:ind w:firstLine="720"/>
      </w:pPr>
      <w:r>
        <w:t xml:space="preserve">Because this particular analysis was developed to show </w:t>
      </w:r>
      <w:r w:rsidR="00B31DC2">
        <w:t xml:space="preserve">costs and benefits in </w:t>
      </w:r>
      <w:r>
        <w:t>levelized</w:t>
      </w:r>
      <w:r w:rsidR="00B31DC2">
        <w:t xml:space="preserve"> format</w:t>
      </w:r>
      <w:r>
        <w:t>, these results are for comparison purposes only to show relative</w:t>
      </w:r>
      <w:r w:rsidR="004B1BD0">
        <w:t xml:space="preserve"> impacts of various levels of </w:t>
      </w:r>
      <w:r w:rsidR="004B1BD0" w:rsidRPr="00E93DAC">
        <w:rPr>
          <w:b/>
          <w:i/>
        </w:rPr>
        <w:t>sustained</w:t>
      </w:r>
      <w:r w:rsidR="004B1BD0">
        <w:t xml:space="preserve"> distributed solar generation.  </w:t>
      </w:r>
      <w:r w:rsidR="009830B9">
        <w:t xml:space="preserve">Figure 2 provides various levelized terms for the first 1000MW tranche to illustrate benefit and cost impacts for 5, 10, 15, 20, 25, and 30-year terms.  </w:t>
      </w:r>
      <w:r w:rsidR="004B1BD0">
        <w:t xml:space="preserve">They should not be used to infer any specific value of distributed solar generation in any particular year, and should not be used to price any particular distributed solar program.  Should there be a need to develop such pricing </w:t>
      </w:r>
      <w:proofErr w:type="gramStart"/>
      <w:r w:rsidR="004B1BD0">
        <w:t>mechanisms</w:t>
      </w:r>
      <w:r w:rsidR="0007738E">
        <w:t>,</w:t>
      </w:r>
      <w:proofErr w:type="gramEnd"/>
      <w:r w:rsidR="0007738E">
        <w:t xml:space="preserve"> </w:t>
      </w:r>
      <w:r w:rsidR="004B1BD0">
        <w:t xml:space="preserve">an analysis should be performed using consistent Framework methodologies </w:t>
      </w:r>
      <w:r w:rsidR="00E93DAC">
        <w:t xml:space="preserve">and </w:t>
      </w:r>
      <w:r w:rsidR="004B1BD0">
        <w:t>project-specific details and assumptions.</w:t>
      </w:r>
    </w:p>
    <w:p w14:paraId="5E64E6F7" w14:textId="77777777" w:rsidR="00853D69" w:rsidRDefault="00853D69" w:rsidP="00AA695D">
      <w:pPr>
        <w:ind w:firstLine="720"/>
      </w:pPr>
    </w:p>
    <w:p w14:paraId="5FFD74C9" w14:textId="77777777" w:rsidR="00853D69" w:rsidRDefault="00853D69" w:rsidP="00AA695D">
      <w:pPr>
        <w:ind w:firstLine="720"/>
      </w:pPr>
    </w:p>
    <w:p w14:paraId="2E472022" w14:textId="77777777" w:rsidR="004939B8" w:rsidRDefault="004939B8" w:rsidP="00AA695D">
      <w:pPr>
        <w:ind w:firstLine="720"/>
      </w:pPr>
    </w:p>
    <w:p w14:paraId="0492CE46" w14:textId="77777777" w:rsidR="004939B8" w:rsidRDefault="004939B8" w:rsidP="00AA695D">
      <w:pPr>
        <w:ind w:firstLine="720"/>
      </w:pPr>
    </w:p>
    <w:p w14:paraId="197621CE" w14:textId="77777777" w:rsidR="00853D69" w:rsidRDefault="00853D69" w:rsidP="00AA695D">
      <w:pPr>
        <w:ind w:firstLine="720"/>
      </w:pPr>
    </w:p>
    <w:p w14:paraId="492AEE64" w14:textId="77777777" w:rsidR="00853D69" w:rsidRDefault="00853D69" w:rsidP="00853D69">
      <w:r w:rsidRPr="005267D4">
        <w:rPr>
          <w:b/>
        </w:rPr>
        <w:lastRenderedPageBreak/>
        <w:t>Figure 2: Levelized Costs and Benefits of Distributed Solar Generation – 1000MW Tranche ($/MWH)</w:t>
      </w:r>
    </w:p>
    <w:tbl>
      <w:tblPr>
        <w:tblStyle w:val="TableGrid"/>
        <w:tblW w:w="0" w:type="auto"/>
        <w:tblLook w:val="04A0" w:firstRow="1" w:lastRow="0" w:firstColumn="1" w:lastColumn="0" w:noHBand="0" w:noVBand="1"/>
      </w:tblPr>
      <w:tblGrid>
        <w:gridCol w:w="9576"/>
      </w:tblGrid>
      <w:tr w:rsidR="004939B8" w14:paraId="4DA8638E" w14:textId="77777777" w:rsidTr="002C5C9D">
        <w:tc>
          <w:tcPr>
            <w:tcW w:w="9576" w:type="dxa"/>
          </w:tcPr>
          <w:p w14:paraId="622ABEA2" w14:textId="77777777" w:rsidR="004939B8" w:rsidRDefault="004939B8" w:rsidP="002C5C9D">
            <w:pPr>
              <w:jc w:val="center"/>
            </w:pPr>
          </w:p>
          <w:p w14:paraId="5EF3FD91" w14:textId="77777777" w:rsidR="004939B8" w:rsidRPr="004939B8" w:rsidRDefault="004939B8" w:rsidP="002C5C9D">
            <w:pPr>
              <w:jc w:val="center"/>
              <w:rPr>
                <w:sz w:val="48"/>
                <w:szCs w:val="48"/>
              </w:rPr>
            </w:pPr>
          </w:p>
          <w:p w14:paraId="51537DBD" w14:textId="77777777" w:rsidR="004939B8" w:rsidRPr="004939B8" w:rsidRDefault="004939B8" w:rsidP="002C5C9D">
            <w:pPr>
              <w:jc w:val="center"/>
              <w:rPr>
                <w:sz w:val="48"/>
                <w:szCs w:val="48"/>
              </w:rPr>
            </w:pPr>
          </w:p>
          <w:p w14:paraId="0B0BA23E" w14:textId="77777777" w:rsidR="004939B8" w:rsidRPr="004939B8" w:rsidRDefault="004939B8" w:rsidP="002C5C9D">
            <w:pPr>
              <w:jc w:val="center"/>
              <w:rPr>
                <w:sz w:val="48"/>
                <w:szCs w:val="48"/>
              </w:rPr>
            </w:pPr>
          </w:p>
          <w:p w14:paraId="585BCB2F" w14:textId="77777777" w:rsidR="004939B8" w:rsidRPr="004939B8" w:rsidRDefault="004939B8" w:rsidP="002C5C9D">
            <w:pPr>
              <w:jc w:val="center"/>
              <w:rPr>
                <w:b/>
                <w:sz w:val="48"/>
                <w:szCs w:val="48"/>
              </w:rPr>
            </w:pPr>
            <w:r w:rsidRPr="004939B8">
              <w:rPr>
                <w:b/>
                <w:sz w:val="48"/>
                <w:szCs w:val="48"/>
              </w:rPr>
              <w:t>REDACTED</w:t>
            </w:r>
          </w:p>
          <w:p w14:paraId="548EBFC9" w14:textId="77777777" w:rsidR="004939B8" w:rsidRPr="004939B8" w:rsidRDefault="004939B8" w:rsidP="002C5C9D">
            <w:pPr>
              <w:jc w:val="center"/>
              <w:rPr>
                <w:sz w:val="48"/>
                <w:szCs w:val="48"/>
              </w:rPr>
            </w:pPr>
          </w:p>
          <w:p w14:paraId="03606993" w14:textId="77777777" w:rsidR="004939B8" w:rsidRPr="004939B8" w:rsidRDefault="004939B8" w:rsidP="002C5C9D">
            <w:pPr>
              <w:jc w:val="center"/>
              <w:rPr>
                <w:sz w:val="48"/>
                <w:szCs w:val="48"/>
              </w:rPr>
            </w:pPr>
          </w:p>
          <w:p w14:paraId="24BEE0EE" w14:textId="77777777" w:rsidR="004939B8" w:rsidRPr="004939B8" w:rsidRDefault="004939B8" w:rsidP="002C5C9D">
            <w:pPr>
              <w:jc w:val="center"/>
              <w:rPr>
                <w:sz w:val="48"/>
                <w:szCs w:val="48"/>
              </w:rPr>
            </w:pPr>
          </w:p>
          <w:p w14:paraId="49C7CA99" w14:textId="77777777" w:rsidR="004939B8" w:rsidRPr="004939B8" w:rsidRDefault="004939B8" w:rsidP="002C5C9D">
            <w:pPr>
              <w:jc w:val="center"/>
              <w:rPr>
                <w:sz w:val="48"/>
                <w:szCs w:val="48"/>
              </w:rPr>
            </w:pPr>
          </w:p>
          <w:p w14:paraId="10B43C02" w14:textId="77777777" w:rsidR="004939B8" w:rsidRPr="004939B8" w:rsidRDefault="004939B8" w:rsidP="002C5C9D">
            <w:pPr>
              <w:jc w:val="center"/>
              <w:rPr>
                <w:sz w:val="48"/>
                <w:szCs w:val="48"/>
              </w:rPr>
            </w:pPr>
          </w:p>
          <w:p w14:paraId="6D6EC5D5" w14:textId="77777777" w:rsidR="004939B8" w:rsidRDefault="004939B8" w:rsidP="002C5C9D">
            <w:pPr>
              <w:jc w:val="center"/>
            </w:pPr>
          </w:p>
        </w:tc>
      </w:tr>
    </w:tbl>
    <w:p w14:paraId="3D1F81AB" w14:textId="77777777" w:rsidR="00FA4A5C" w:rsidRDefault="00FA4A5C" w:rsidP="00E43DDA">
      <w:pPr>
        <w:spacing w:after="0" w:line="240" w:lineRule="auto"/>
      </w:pPr>
    </w:p>
    <w:p w14:paraId="2ECFD962" w14:textId="77777777" w:rsidR="00115D11" w:rsidRPr="002233FB" w:rsidRDefault="00115D11" w:rsidP="00853D69">
      <w:pPr>
        <w:rPr>
          <w:b/>
        </w:rPr>
      </w:pPr>
      <w:r>
        <w:rPr>
          <w:b/>
        </w:rPr>
        <w:t>Conclusions</w:t>
      </w:r>
    </w:p>
    <w:p w14:paraId="23E6BD3A" w14:textId="5B0BC379" w:rsidR="00115D11" w:rsidRDefault="00115D11" w:rsidP="00115D11">
      <w:pPr>
        <w:pStyle w:val="ListParagraph"/>
        <w:ind w:left="0" w:firstLine="720"/>
      </w:pPr>
      <w:r>
        <w:t>A number of conclusions can be drawn from these results</w:t>
      </w:r>
      <w:r w:rsidR="00E93DAC">
        <w:t xml:space="preserve">.  </w:t>
      </w:r>
      <w:r w:rsidR="00C52963">
        <w:t>A</w:t>
      </w:r>
      <w:r>
        <w:t xml:space="preserve">s a reminder, </w:t>
      </w:r>
      <w:r w:rsidR="00C52963">
        <w:t xml:space="preserve">however, </w:t>
      </w:r>
      <w:r>
        <w:t xml:space="preserve">because of how these specific results were calculated and the assumptions used in calculating them, one conclusion that </w:t>
      </w:r>
      <w:r w:rsidRPr="00BC678C">
        <w:rPr>
          <w:b/>
          <w:i/>
        </w:rPr>
        <w:t>should not</w:t>
      </w:r>
      <w:r>
        <w:t xml:space="preserve"> be made from these results is that solar can/should be added on the system at rates derived from these particular solar cost benefit results.  These results are based on a number of assumptions that were made for the purpose of determining the relative impacts of increasing penetrations of solar on the system and not for the purpose of determining costs and benefits for any particular project or program.  Any specific solar project or program should be evaluated in a similar manner using the Framework and the appropriate assumptions associated with that program or project.</w:t>
      </w:r>
    </w:p>
    <w:p w14:paraId="65F6279E" w14:textId="77777777" w:rsidR="002920D1" w:rsidRDefault="002920D1" w:rsidP="00115D11">
      <w:pPr>
        <w:pStyle w:val="ListParagraph"/>
        <w:ind w:left="0" w:firstLine="720"/>
      </w:pPr>
    </w:p>
    <w:p w14:paraId="2F5AD887" w14:textId="77777777" w:rsidR="00115D11" w:rsidRDefault="00115D11" w:rsidP="00115D11">
      <w:pPr>
        <w:pStyle w:val="ListParagraph"/>
        <w:ind w:left="0" w:firstLine="720"/>
      </w:pPr>
      <w:r>
        <w:t xml:space="preserve">Conclusions that </w:t>
      </w:r>
      <w:r w:rsidRPr="00BC678C">
        <w:rPr>
          <w:b/>
          <w:i/>
        </w:rPr>
        <w:t>can</w:t>
      </w:r>
      <w:r>
        <w:t xml:space="preserve"> be drawn from these results include the following important observations:</w:t>
      </w:r>
    </w:p>
    <w:p w14:paraId="4B317DBF" w14:textId="77777777" w:rsidR="00115D11" w:rsidRDefault="00115D11" w:rsidP="00115D11">
      <w:pPr>
        <w:pStyle w:val="ListParagraph"/>
        <w:ind w:left="0" w:firstLine="720"/>
      </w:pPr>
    </w:p>
    <w:p w14:paraId="7DF44263" w14:textId="69401674" w:rsidR="001C0FD2" w:rsidRDefault="001C0FD2" w:rsidP="001C0FD2">
      <w:pPr>
        <w:pStyle w:val="ListParagraph"/>
        <w:numPr>
          <w:ilvl w:val="0"/>
          <w:numId w:val="18"/>
        </w:numPr>
      </w:pPr>
      <w:r>
        <w:t>The total benefit provided by solar generation exceeds the total cost caused by solar generation; however, with increasing penetration levels the overall benefit to the system declines.</w:t>
      </w:r>
    </w:p>
    <w:p w14:paraId="1EA3D005" w14:textId="53617CC6" w:rsidR="001C0FD2" w:rsidRDefault="001C0FD2" w:rsidP="001C0FD2">
      <w:pPr>
        <w:pStyle w:val="ListParagraph"/>
        <w:numPr>
          <w:ilvl w:val="0"/>
          <w:numId w:val="18"/>
        </w:numPr>
      </w:pPr>
      <w:r>
        <w:t xml:space="preserve">On average (after the 2000MW tranche and excluding the 8000MW tranche which represents a substantial cost breakpoint), the decline in the total avoided cost of solar amounts to roughly </w:t>
      </w:r>
      <w:r w:rsidRPr="001C0FD2">
        <w:rPr>
          <w:b/>
        </w:rPr>
        <w:t>REDACTED</w:t>
      </w:r>
      <w:r w:rsidRPr="001C0FD2">
        <w:t xml:space="preserve"> </w:t>
      </w:r>
      <w:r>
        <w:t xml:space="preserve">for each 1000 MW of solar installed on the system (i.e., each 1000 MW of distributed solar installed – up to 7000MW - is worth about </w:t>
      </w:r>
      <w:r w:rsidRPr="001C0FD2">
        <w:rPr>
          <w:b/>
        </w:rPr>
        <w:t>REDACTED</w:t>
      </w:r>
      <w:r>
        <w:t xml:space="preserve"> less than the previous 1000 MW installed).</w:t>
      </w:r>
    </w:p>
    <w:p w14:paraId="0D7013A1" w14:textId="77777777" w:rsidR="001C0FD2" w:rsidRDefault="001C0FD2" w:rsidP="001C0FD2">
      <w:pPr>
        <w:pStyle w:val="ListParagraph"/>
        <w:numPr>
          <w:ilvl w:val="0"/>
          <w:numId w:val="18"/>
        </w:numPr>
      </w:pPr>
      <w:r>
        <w:lastRenderedPageBreak/>
        <w:t>Total avoided costs remain fairly stable up through 2000MW of distributed solar, after which the costs tend to decline steadily until the next big cost breakpoint at 7000MW of distributed solar – the point at which there is no longer a deferred generation capacity and deferred transmission investment benefit from distributed solar due to the time shift of the peak to dusk.</w:t>
      </w:r>
    </w:p>
    <w:p w14:paraId="1FADC9BA" w14:textId="77777777" w:rsidR="001C0FD2" w:rsidRDefault="001C0FD2" w:rsidP="001C0FD2">
      <w:pPr>
        <w:pStyle w:val="ListParagraph"/>
        <w:numPr>
          <w:ilvl w:val="0"/>
          <w:numId w:val="18"/>
        </w:numPr>
      </w:pPr>
      <w:r>
        <w:t>Compared to the avoided energy benefits provided by distributed solar, the deferred transmission investment benefits are extremely small on a relative basis.</w:t>
      </w:r>
    </w:p>
    <w:p w14:paraId="6920ADEC" w14:textId="77777777" w:rsidR="001C0FD2" w:rsidRDefault="001C0FD2" w:rsidP="001C0FD2">
      <w:pPr>
        <w:pStyle w:val="ListParagraph"/>
        <w:numPr>
          <w:ilvl w:val="0"/>
          <w:numId w:val="18"/>
        </w:numPr>
      </w:pPr>
      <w:r>
        <w:t xml:space="preserve">Costs associated with Support Capacity and Generation Remix </w:t>
      </w:r>
      <w:proofErr w:type="gramStart"/>
      <w:r>
        <w:t>are</w:t>
      </w:r>
      <w:proofErr w:type="gramEnd"/>
      <w:r>
        <w:t xml:space="preserve"> immediately incurred with low penetrations of solar.</w:t>
      </w:r>
    </w:p>
    <w:p w14:paraId="3A2D7BD4" w14:textId="25BD3045" w:rsidR="001C0FD2" w:rsidRDefault="001C0FD2" w:rsidP="001C0FD2">
      <w:pPr>
        <w:pStyle w:val="ListParagraph"/>
        <w:numPr>
          <w:ilvl w:val="0"/>
          <w:numId w:val="18"/>
        </w:numPr>
      </w:pPr>
      <w:r>
        <w:t>Even with perfect knowledge and perfect confidence in the expected solar profile, the system reaches a point between 4000 and 5000 MW of distributed solar in which it can no longer recommit to avoid bottom out conditions; although the costs are estimated to be relatively low (as calculated here using avoided energy cost as a proxy for over generation costs), it can be assumed that this increase in bottom out conditions represents a significant increase in the operational challenges associated with solar generation.</w:t>
      </w:r>
    </w:p>
    <w:p w14:paraId="2657BB66" w14:textId="0BD9101F" w:rsidR="002920D1" w:rsidRPr="00BC678C" w:rsidRDefault="00DC2C86" w:rsidP="00BC678C">
      <w:pPr>
        <w:ind w:firstLine="720"/>
      </w:pPr>
      <w:r>
        <w:t xml:space="preserve">Based on these conclusions, all </w:t>
      </w:r>
      <w:r w:rsidR="002920D1">
        <w:t xml:space="preserve">new proposed solar </w:t>
      </w:r>
      <w:r w:rsidR="00C52963">
        <w:t xml:space="preserve">resources </w:t>
      </w:r>
      <w:r w:rsidR="002920D1">
        <w:t xml:space="preserve">should be evaluated in light of all previously committed solar projects so that the declining value of solar generation can be appropriately measured.  </w:t>
      </w:r>
      <w:r w:rsidR="00DF1642">
        <w:t xml:space="preserve">Based on today’s view of the future, it </w:t>
      </w:r>
      <w:r w:rsidR="002920D1">
        <w:t xml:space="preserve">can also be concluded that due to </w:t>
      </w:r>
      <w:r w:rsidR="00002AA4">
        <w:t xml:space="preserve">the breakpoints </w:t>
      </w:r>
      <w:r w:rsidR="002920D1">
        <w:t xml:space="preserve">in </w:t>
      </w:r>
      <w:r w:rsidR="00002AA4">
        <w:t xml:space="preserve">operational </w:t>
      </w:r>
      <w:r w:rsidR="002920D1">
        <w:t xml:space="preserve">costs </w:t>
      </w:r>
      <w:r w:rsidR="00002AA4">
        <w:t xml:space="preserve">associated with solar </w:t>
      </w:r>
      <w:r w:rsidR="002920D1">
        <w:t>and the potential for significant increases in operational problems</w:t>
      </w:r>
      <w:r w:rsidR="00F46819">
        <w:t xml:space="preserve"> at these levels</w:t>
      </w:r>
      <w:r w:rsidR="002920D1">
        <w:t xml:space="preserve">, </w:t>
      </w:r>
      <w:r w:rsidR="00DF1642">
        <w:t xml:space="preserve">consideration of solar penetrations </w:t>
      </w:r>
      <w:r w:rsidR="002920D1">
        <w:t xml:space="preserve">in the </w:t>
      </w:r>
      <w:r>
        <w:t>4000</w:t>
      </w:r>
      <w:r w:rsidR="002920D1">
        <w:t>-</w:t>
      </w:r>
      <w:r>
        <w:t xml:space="preserve">5000 </w:t>
      </w:r>
      <w:r w:rsidR="002920D1">
        <w:t>MW range</w:t>
      </w:r>
      <w:r w:rsidR="00DF1642">
        <w:t xml:space="preserve"> </w:t>
      </w:r>
      <w:r w:rsidR="00125095">
        <w:t xml:space="preserve">could </w:t>
      </w:r>
      <w:r w:rsidR="00DF1642">
        <w:t>creat</w:t>
      </w:r>
      <w:r w:rsidR="00125095">
        <w:t>e</w:t>
      </w:r>
      <w:r w:rsidR="00DF1642">
        <w:t xml:space="preserve"> the need for mitigation measures</w:t>
      </w:r>
      <w:r w:rsidR="002920D1">
        <w:t>.</w:t>
      </w:r>
      <w:r w:rsidR="00853D69" w:rsidRPr="00853D69">
        <w:t xml:space="preserve"> </w:t>
      </w:r>
      <w:r w:rsidR="00315E61">
        <w:t xml:space="preserve"> </w:t>
      </w:r>
      <w:r w:rsidR="00853D69">
        <w:t>Although this study was performed for distributed solar generation, the general conclusions are applicable to all solar generation added to the system, including utility scale solar generation.</w:t>
      </w:r>
    </w:p>
    <w:p w14:paraId="025C5E4C" w14:textId="77777777" w:rsidR="00FF0FEB" w:rsidRPr="00BC678C" w:rsidRDefault="00FF0FEB"/>
    <w:p w14:paraId="2C9A2BEE" w14:textId="77777777" w:rsidR="002920D1" w:rsidRDefault="002920D1">
      <w:pPr>
        <w:rPr>
          <w:b/>
        </w:rPr>
      </w:pPr>
      <w:r>
        <w:rPr>
          <w:b/>
        </w:rPr>
        <w:br w:type="page"/>
      </w:r>
    </w:p>
    <w:p w14:paraId="31940448" w14:textId="77777777" w:rsidR="00CD63F6" w:rsidRDefault="00CD63F6" w:rsidP="00CD63F6">
      <w:pPr>
        <w:spacing w:line="240" w:lineRule="auto"/>
        <w:ind w:firstLine="720"/>
        <w:jc w:val="center"/>
        <w:rPr>
          <w:b/>
        </w:rPr>
      </w:pPr>
      <w:r>
        <w:rPr>
          <w:b/>
        </w:rPr>
        <w:lastRenderedPageBreak/>
        <w:t>SECTION 2 – DISTRIBUTED SOLAR COST-BENEFIT RESULTS</w:t>
      </w:r>
    </w:p>
    <w:p w14:paraId="16751F31" w14:textId="77777777" w:rsidR="00CD63F6" w:rsidRDefault="00CD63F6" w:rsidP="00CD63F6">
      <w:pPr>
        <w:spacing w:line="240" w:lineRule="auto"/>
        <w:ind w:firstLine="720"/>
      </w:pPr>
    </w:p>
    <w:p w14:paraId="263A56E5" w14:textId="77777777" w:rsidR="00CD63F6" w:rsidRPr="006C7551" w:rsidRDefault="00CD63F6" w:rsidP="00CD63F6">
      <w:pPr>
        <w:rPr>
          <w:b/>
        </w:rPr>
      </w:pPr>
      <w:r>
        <w:rPr>
          <w:b/>
        </w:rPr>
        <w:t>Distributed Solar Hourly Profiles</w:t>
      </w:r>
    </w:p>
    <w:p w14:paraId="27245C98" w14:textId="77777777" w:rsidR="00CD63F6" w:rsidRDefault="00CD63F6" w:rsidP="00CD63F6">
      <w:pPr>
        <w:ind w:firstLine="720"/>
      </w:pPr>
      <w:r>
        <w:t xml:space="preserve">The starting point of this analysis </w:t>
      </w:r>
      <w:r w:rsidR="00DC2C86">
        <w:t xml:space="preserve">was </w:t>
      </w:r>
      <w:r>
        <w:t xml:space="preserve">the determination of the expected distributed solar profile.  The determination of this hourly solar profile is highly dependent upon a number of solar configuration </w:t>
      </w:r>
      <w:r w:rsidR="00B31DC2">
        <w:t>and</w:t>
      </w:r>
      <w:r>
        <w:t xml:space="preserve"> meteorological assumptions.  These </w:t>
      </w:r>
      <w:r w:rsidR="00C52963">
        <w:t xml:space="preserve">configurations and assumptions </w:t>
      </w:r>
      <w:r>
        <w:t xml:space="preserve">can vary significantly from </w:t>
      </w:r>
      <w:r w:rsidR="00771B83">
        <w:t xml:space="preserve">project </w:t>
      </w:r>
      <w:r>
        <w:t xml:space="preserve">to </w:t>
      </w:r>
      <w:r w:rsidR="00771B83">
        <w:t xml:space="preserve">project </w:t>
      </w:r>
      <w:r>
        <w:t xml:space="preserve">and, for purposes of anticipating future </w:t>
      </w:r>
      <w:r w:rsidR="00771B83">
        <w:t>projects</w:t>
      </w:r>
      <w:r>
        <w:t xml:space="preserve">, </w:t>
      </w:r>
      <w:r w:rsidR="00771B83">
        <w:t>are</w:t>
      </w:r>
      <w:r>
        <w:t xml:space="preserve"> impossible to predict.  Therefore, a number of assumptions were made in an attempt to generate a reasonable set of distributed solar generation profiles.</w:t>
      </w:r>
    </w:p>
    <w:p w14:paraId="3900FF0C" w14:textId="77777777" w:rsidR="00CD63F6" w:rsidRDefault="00CD63F6" w:rsidP="00CD63F6">
      <w:pPr>
        <w:ind w:firstLine="720"/>
      </w:pPr>
      <w:r>
        <w:t xml:space="preserve">For meteorological assumptions, Typical GHI </w:t>
      </w:r>
      <w:r w:rsidR="00A83930">
        <w:t>(</w:t>
      </w:r>
      <w:r w:rsidR="00B31DC2">
        <w:t>Global Horizontal Irradiance</w:t>
      </w:r>
      <w:r w:rsidR="00A83930">
        <w:t xml:space="preserve">) </w:t>
      </w:r>
      <w:r>
        <w:t>weather from</w:t>
      </w:r>
      <w:r w:rsidR="00A83930">
        <w:t xml:space="preserve"> the</w:t>
      </w:r>
      <w:r>
        <w:t xml:space="preserve"> NREL </w:t>
      </w:r>
      <w:r w:rsidR="00A83930">
        <w:t>(National Renewable Energy Laboratories) Solar Prospector website</w:t>
      </w:r>
      <w:r w:rsidR="00A83930">
        <w:rPr>
          <w:rStyle w:val="FootnoteReference"/>
        </w:rPr>
        <w:footnoteReference w:id="5"/>
      </w:r>
      <w:r w:rsidR="00A83930">
        <w:t xml:space="preserve"> was used</w:t>
      </w:r>
      <w:r>
        <w:t xml:space="preserve">.  This assumption was based upon the fact that the Typical GHI meteorological data is specifically designed to create a set of profiles that approximates on a monthly basis the average output that would have been produced over the course of a series of historical years.   </w:t>
      </w:r>
    </w:p>
    <w:p w14:paraId="5A0D8719" w14:textId="77777777" w:rsidR="00CD63F6" w:rsidRDefault="00CD63F6" w:rsidP="00CD63F6">
      <w:pPr>
        <w:ind w:firstLine="720"/>
      </w:pPr>
      <w:r>
        <w:t>The solar configuration assumptions used for this analysis included assumptions for the following:</w:t>
      </w:r>
    </w:p>
    <w:p w14:paraId="54049EFA" w14:textId="77777777" w:rsidR="00CD63F6" w:rsidRDefault="00CD63F6" w:rsidP="00CD63F6">
      <w:pPr>
        <w:pStyle w:val="ListParagraph"/>
        <w:numPr>
          <w:ilvl w:val="0"/>
          <w:numId w:val="13"/>
        </w:numPr>
      </w:pPr>
      <w:r>
        <w:t xml:space="preserve">A breakdown of the distribution of solar </w:t>
      </w:r>
      <w:r w:rsidR="00C52963">
        <w:t xml:space="preserve">generation </w:t>
      </w:r>
      <w:r>
        <w:t>across the system</w:t>
      </w:r>
      <w:r w:rsidR="00C52963">
        <w:t>;</w:t>
      </w:r>
    </w:p>
    <w:p w14:paraId="5053AEF1" w14:textId="77777777" w:rsidR="00CD63F6" w:rsidRDefault="00CD63F6" w:rsidP="00CD63F6">
      <w:pPr>
        <w:pStyle w:val="ListParagraph"/>
        <w:numPr>
          <w:ilvl w:val="0"/>
          <w:numId w:val="13"/>
        </w:numPr>
      </w:pPr>
      <w:r>
        <w:t>A breakdown of the assumed DC-AC ratios for each location</w:t>
      </w:r>
      <w:r w:rsidR="00C52963">
        <w:t>;</w:t>
      </w:r>
    </w:p>
    <w:p w14:paraId="356B3063" w14:textId="77777777" w:rsidR="00CD63F6" w:rsidRDefault="00CD63F6" w:rsidP="00CD63F6">
      <w:pPr>
        <w:pStyle w:val="ListParagraph"/>
        <w:numPr>
          <w:ilvl w:val="0"/>
          <w:numId w:val="13"/>
        </w:numPr>
      </w:pPr>
      <w:r>
        <w:t>A breakdown of the assumed Azimuth settings for each location</w:t>
      </w:r>
      <w:r w:rsidR="00C52963">
        <w:t>; and</w:t>
      </w:r>
    </w:p>
    <w:p w14:paraId="6C2C21D3" w14:textId="77777777" w:rsidR="00CD63F6" w:rsidRDefault="00CD63F6" w:rsidP="00CD63F6">
      <w:pPr>
        <w:pStyle w:val="ListParagraph"/>
        <w:numPr>
          <w:ilvl w:val="0"/>
          <w:numId w:val="13"/>
        </w:numPr>
      </w:pPr>
      <w:r>
        <w:t>A breakdown of the assumed Tilt settings for each location</w:t>
      </w:r>
      <w:r w:rsidR="00C52963">
        <w:t>.</w:t>
      </w:r>
    </w:p>
    <w:p w14:paraId="3A13C6BD" w14:textId="7E75B9B5" w:rsidR="00CD63F6" w:rsidRDefault="00CD63F6" w:rsidP="00CD63F6">
      <w:pPr>
        <w:ind w:firstLine="720"/>
      </w:pPr>
      <w:r>
        <w:t xml:space="preserve">With respect to the distribution of solar resources, it was assumed that the solar resources were distributed somewhat proportionally to the major load centers </w:t>
      </w:r>
      <w:r w:rsidR="009F35E0">
        <w:t xml:space="preserve">across </w:t>
      </w:r>
      <w:r>
        <w:t xml:space="preserve">the </w:t>
      </w:r>
      <w:r w:rsidR="006D28E5">
        <w:t>Georgia Power Electric System</w:t>
      </w:r>
      <w:r w:rsidR="00E93DAC">
        <w:t xml:space="preserve">.  </w:t>
      </w:r>
      <w:r>
        <w:t xml:space="preserve">The </w:t>
      </w:r>
      <w:r w:rsidR="0030371C">
        <w:t xml:space="preserve">geographic </w:t>
      </w:r>
      <w:r>
        <w:t xml:space="preserve">diversity of solar was therefore assumed as shown in </w:t>
      </w:r>
      <w:r w:rsidRPr="00A83930">
        <w:t xml:space="preserve">Table </w:t>
      </w:r>
      <w:r w:rsidR="009F35E0">
        <w:t xml:space="preserve">2 </w:t>
      </w:r>
      <w:r>
        <w:t xml:space="preserve">below.  </w:t>
      </w:r>
    </w:p>
    <w:p w14:paraId="0326289B" w14:textId="77777777" w:rsidR="004C6887" w:rsidRDefault="004C6887" w:rsidP="00CD63F6">
      <w:pPr>
        <w:ind w:firstLine="720"/>
      </w:pPr>
    </w:p>
    <w:p w14:paraId="69F07748" w14:textId="77777777" w:rsidR="00CD63F6" w:rsidRPr="001A7FA8" w:rsidRDefault="00CD63F6" w:rsidP="00CD63F6">
      <w:pPr>
        <w:rPr>
          <w:b/>
        </w:rPr>
      </w:pPr>
      <w:r w:rsidRPr="001A7FA8">
        <w:rPr>
          <w:b/>
        </w:rPr>
        <w:t xml:space="preserve">Table </w:t>
      </w:r>
      <w:r w:rsidR="009F35E0">
        <w:rPr>
          <w:b/>
        </w:rPr>
        <w:t>2</w:t>
      </w:r>
      <w:r w:rsidR="00B31DC2">
        <w:rPr>
          <w:b/>
        </w:rPr>
        <w:t>:</w:t>
      </w:r>
      <w:r w:rsidR="00B31DC2" w:rsidRPr="001A7FA8">
        <w:rPr>
          <w:b/>
        </w:rPr>
        <w:t xml:space="preserve"> </w:t>
      </w:r>
      <w:r w:rsidRPr="001A7FA8">
        <w:rPr>
          <w:b/>
        </w:rPr>
        <w:t>Distributed Solar Diversity Assumptions</w:t>
      </w:r>
    </w:p>
    <w:tbl>
      <w:tblPr>
        <w:tblStyle w:val="LightList-Accent1"/>
        <w:tblW w:w="0" w:type="auto"/>
        <w:tblLook w:val="04A0" w:firstRow="1" w:lastRow="0" w:firstColumn="1" w:lastColumn="0" w:noHBand="0" w:noVBand="1"/>
      </w:tblPr>
      <w:tblGrid>
        <w:gridCol w:w="3240"/>
        <w:gridCol w:w="1980"/>
      </w:tblGrid>
      <w:tr w:rsidR="00455ABB" w:rsidRPr="008D1C70" w14:paraId="09F84CE2" w14:textId="77777777" w:rsidTr="00A8393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91CEF1B" w14:textId="77777777" w:rsidR="00455ABB" w:rsidRPr="009D0009" w:rsidRDefault="00455ABB" w:rsidP="00B24877">
            <w:pPr>
              <w:ind w:firstLine="720"/>
              <w:rPr>
                <w:b w:val="0"/>
                <w:bCs w:val="0"/>
                <w:sz w:val="20"/>
                <w:szCs w:val="20"/>
              </w:rPr>
            </w:pPr>
            <w:r w:rsidRPr="009D0009">
              <w:rPr>
                <w:b w:val="0"/>
                <w:bCs w:val="0"/>
                <w:sz w:val="20"/>
                <w:szCs w:val="20"/>
              </w:rPr>
              <w:t>Regional Allocations</w:t>
            </w:r>
          </w:p>
        </w:tc>
        <w:tc>
          <w:tcPr>
            <w:tcW w:w="1980" w:type="dxa"/>
            <w:noWrap/>
            <w:hideMark/>
          </w:tcPr>
          <w:p w14:paraId="760DC981" w14:textId="77777777" w:rsidR="00455ABB" w:rsidRPr="009D0009" w:rsidRDefault="00455ABB" w:rsidP="00B24877">
            <w:pPr>
              <w:ind w:firstLine="720"/>
              <w:cnfStyle w:val="100000000000" w:firstRow="1" w:lastRow="0" w:firstColumn="0" w:lastColumn="0" w:oddVBand="0" w:evenVBand="0" w:oddHBand="0" w:evenHBand="0" w:firstRowFirstColumn="0" w:firstRowLastColumn="0" w:lastRowFirstColumn="0" w:lastRowLastColumn="0"/>
              <w:rPr>
                <w:b w:val="0"/>
                <w:bCs w:val="0"/>
                <w:sz w:val="20"/>
                <w:szCs w:val="20"/>
              </w:rPr>
            </w:pPr>
            <w:r w:rsidRPr="009D0009">
              <w:rPr>
                <w:b w:val="0"/>
                <w:bCs w:val="0"/>
                <w:sz w:val="20"/>
                <w:szCs w:val="20"/>
              </w:rPr>
              <w:t>By Region</w:t>
            </w:r>
          </w:p>
        </w:tc>
      </w:tr>
      <w:tr w:rsidR="00455ABB" w:rsidRPr="008D1C70" w14:paraId="40368C23" w14:textId="77777777" w:rsidTr="00A839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5AA26B0" w14:textId="77777777" w:rsidR="00455ABB" w:rsidRPr="009D0009" w:rsidRDefault="00455ABB" w:rsidP="00B24877">
            <w:pPr>
              <w:ind w:firstLine="720"/>
              <w:rPr>
                <w:b w:val="0"/>
                <w:bCs w:val="0"/>
                <w:sz w:val="20"/>
                <w:szCs w:val="20"/>
              </w:rPr>
            </w:pPr>
            <w:r w:rsidRPr="009D0009">
              <w:rPr>
                <w:b w:val="0"/>
                <w:bCs w:val="0"/>
                <w:sz w:val="20"/>
                <w:szCs w:val="20"/>
              </w:rPr>
              <w:t>Atlanta</w:t>
            </w:r>
          </w:p>
        </w:tc>
        <w:tc>
          <w:tcPr>
            <w:tcW w:w="1980" w:type="dxa"/>
            <w:noWrap/>
            <w:hideMark/>
          </w:tcPr>
          <w:p w14:paraId="3B9AE456" w14:textId="77777777" w:rsidR="00455ABB" w:rsidRPr="009D0009" w:rsidRDefault="00455ABB" w:rsidP="00B24877">
            <w:pPr>
              <w:ind w:firstLine="720"/>
              <w:cnfStyle w:val="000000100000" w:firstRow="0" w:lastRow="0" w:firstColumn="0" w:lastColumn="0" w:oddVBand="0" w:evenVBand="0" w:oddHBand="1" w:evenHBand="0" w:firstRowFirstColumn="0" w:firstRowLastColumn="0" w:lastRowFirstColumn="0" w:lastRowLastColumn="0"/>
              <w:rPr>
                <w:sz w:val="20"/>
                <w:szCs w:val="20"/>
              </w:rPr>
            </w:pPr>
            <w:r w:rsidRPr="009D0009">
              <w:rPr>
                <w:sz w:val="20"/>
                <w:szCs w:val="20"/>
              </w:rPr>
              <w:t>63%</w:t>
            </w:r>
          </w:p>
        </w:tc>
      </w:tr>
      <w:tr w:rsidR="00455ABB" w:rsidRPr="008D1C70" w14:paraId="6F38CBA0" w14:textId="77777777" w:rsidTr="00A83930">
        <w:trPr>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7AAECD7" w14:textId="77777777" w:rsidR="00455ABB" w:rsidRPr="009D0009" w:rsidRDefault="00455ABB" w:rsidP="00B24877">
            <w:pPr>
              <w:ind w:firstLine="720"/>
              <w:rPr>
                <w:b w:val="0"/>
                <w:bCs w:val="0"/>
                <w:sz w:val="20"/>
                <w:szCs w:val="20"/>
              </w:rPr>
            </w:pPr>
            <w:r w:rsidRPr="009D0009">
              <w:rPr>
                <w:b w:val="0"/>
                <w:bCs w:val="0"/>
                <w:sz w:val="20"/>
                <w:szCs w:val="20"/>
              </w:rPr>
              <w:t>Columbus</w:t>
            </w:r>
          </w:p>
        </w:tc>
        <w:tc>
          <w:tcPr>
            <w:tcW w:w="1980" w:type="dxa"/>
            <w:noWrap/>
            <w:hideMark/>
          </w:tcPr>
          <w:p w14:paraId="434CAA94" w14:textId="77777777" w:rsidR="00455ABB" w:rsidRPr="009D0009" w:rsidRDefault="00455ABB" w:rsidP="00B24877">
            <w:pPr>
              <w:ind w:firstLine="720"/>
              <w:cnfStyle w:val="000000000000" w:firstRow="0" w:lastRow="0" w:firstColumn="0" w:lastColumn="0" w:oddVBand="0" w:evenVBand="0" w:oddHBand="0" w:evenHBand="0" w:firstRowFirstColumn="0" w:firstRowLastColumn="0" w:lastRowFirstColumn="0" w:lastRowLastColumn="0"/>
              <w:rPr>
                <w:sz w:val="20"/>
                <w:szCs w:val="20"/>
              </w:rPr>
            </w:pPr>
            <w:r w:rsidRPr="009D0009">
              <w:rPr>
                <w:sz w:val="20"/>
                <w:szCs w:val="20"/>
              </w:rPr>
              <w:t>9%</w:t>
            </w:r>
          </w:p>
        </w:tc>
      </w:tr>
      <w:tr w:rsidR="00455ABB" w:rsidRPr="008D1C70" w14:paraId="279A990D" w14:textId="77777777" w:rsidTr="00A839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0E8AD7C" w14:textId="77777777" w:rsidR="00455ABB" w:rsidRPr="009D0009" w:rsidRDefault="00455ABB" w:rsidP="00B24877">
            <w:pPr>
              <w:ind w:firstLine="720"/>
              <w:rPr>
                <w:b w:val="0"/>
                <w:bCs w:val="0"/>
                <w:sz w:val="20"/>
                <w:szCs w:val="20"/>
              </w:rPr>
            </w:pPr>
            <w:r w:rsidRPr="009D0009">
              <w:rPr>
                <w:b w:val="0"/>
                <w:bCs w:val="0"/>
                <w:sz w:val="20"/>
                <w:szCs w:val="20"/>
              </w:rPr>
              <w:t>Macon</w:t>
            </w:r>
          </w:p>
        </w:tc>
        <w:tc>
          <w:tcPr>
            <w:tcW w:w="1980" w:type="dxa"/>
            <w:noWrap/>
            <w:hideMark/>
          </w:tcPr>
          <w:p w14:paraId="295471B3" w14:textId="77777777" w:rsidR="00455ABB" w:rsidRPr="009D0009" w:rsidRDefault="00455ABB" w:rsidP="00B24877">
            <w:pPr>
              <w:ind w:firstLine="720"/>
              <w:cnfStyle w:val="000000100000" w:firstRow="0" w:lastRow="0" w:firstColumn="0" w:lastColumn="0" w:oddVBand="0" w:evenVBand="0" w:oddHBand="1" w:evenHBand="0" w:firstRowFirstColumn="0" w:firstRowLastColumn="0" w:lastRowFirstColumn="0" w:lastRowLastColumn="0"/>
              <w:rPr>
                <w:sz w:val="20"/>
                <w:szCs w:val="20"/>
              </w:rPr>
            </w:pPr>
            <w:r w:rsidRPr="009D0009">
              <w:rPr>
                <w:sz w:val="20"/>
                <w:szCs w:val="20"/>
              </w:rPr>
              <w:t>10%</w:t>
            </w:r>
          </w:p>
        </w:tc>
      </w:tr>
      <w:tr w:rsidR="00455ABB" w:rsidRPr="008D1C70" w14:paraId="72D11432" w14:textId="77777777" w:rsidTr="00A83930">
        <w:trPr>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0EE43F6" w14:textId="77777777" w:rsidR="00455ABB" w:rsidRPr="009D0009" w:rsidRDefault="00455ABB" w:rsidP="00B24877">
            <w:pPr>
              <w:ind w:firstLine="720"/>
              <w:rPr>
                <w:b w:val="0"/>
                <w:bCs w:val="0"/>
                <w:sz w:val="20"/>
                <w:szCs w:val="20"/>
              </w:rPr>
            </w:pPr>
            <w:r w:rsidRPr="009D0009">
              <w:rPr>
                <w:b w:val="0"/>
                <w:bCs w:val="0"/>
                <w:sz w:val="20"/>
                <w:szCs w:val="20"/>
              </w:rPr>
              <w:t>Augusta</w:t>
            </w:r>
          </w:p>
        </w:tc>
        <w:tc>
          <w:tcPr>
            <w:tcW w:w="1980" w:type="dxa"/>
            <w:noWrap/>
            <w:hideMark/>
          </w:tcPr>
          <w:p w14:paraId="7FB23611" w14:textId="77777777" w:rsidR="00455ABB" w:rsidRPr="009D0009" w:rsidRDefault="00455ABB" w:rsidP="00B24877">
            <w:pPr>
              <w:ind w:firstLine="720"/>
              <w:cnfStyle w:val="000000000000" w:firstRow="0" w:lastRow="0" w:firstColumn="0" w:lastColumn="0" w:oddVBand="0" w:evenVBand="0" w:oddHBand="0" w:evenHBand="0" w:firstRowFirstColumn="0" w:firstRowLastColumn="0" w:lastRowFirstColumn="0" w:lastRowLastColumn="0"/>
              <w:rPr>
                <w:sz w:val="20"/>
                <w:szCs w:val="20"/>
              </w:rPr>
            </w:pPr>
            <w:r w:rsidRPr="009D0009">
              <w:rPr>
                <w:sz w:val="20"/>
                <w:szCs w:val="20"/>
              </w:rPr>
              <w:t>7%</w:t>
            </w:r>
          </w:p>
        </w:tc>
      </w:tr>
      <w:tr w:rsidR="00455ABB" w:rsidRPr="008D1C70" w14:paraId="155E653D" w14:textId="77777777" w:rsidTr="00A839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A00C344" w14:textId="77777777" w:rsidR="00455ABB" w:rsidRPr="009D0009" w:rsidRDefault="00455ABB" w:rsidP="00B24877">
            <w:pPr>
              <w:ind w:firstLine="720"/>
              <w:rPr>
                <w:b w:val="0"/>
                <w:bCs w:val="0"/>
                <w:sz w:val="20"/>
                <w:szCs w:val="20"/>
              </w:rPr>
            </w:pPr>
            <w:r w:rsidRPr="009D0009">
              <w:rPr>
                <w:b w:val="0"/>
                <w:bCs w:val="0"/>
                <w:sz w:val="20"/>
                <w:szCs w:val="20"/>
              </w:rPr>
              <w:t>Albany/Valdosta</w:t>
            </w:r>
          </w:p>
        </w:tc>
        <w:tc>
          <w:tcPr>
            <w:tcW w:w="1980" w:type="dxa"/>
            <w:noWrap/>
            <w:hideMark/>
          </w:tcPr>
          <w:p w14:paraId="6A4FE057" w14:textId="77777777" w:rsidR="00455ABB" w:rsidRPr="009D0009" w:rsidRDefault="00455ABB" w:rsidP="00B24877">
            <w:pPr>
              <w:ind w:firstLine="720"/>
              <w:cnfStyle w:val="000000100000" w:firstRow="0" w:lastRow="0" w:firstColumn="0" w:lastColumn="0" w:oddVBand="0" w:evenVBand="0" w:oddHBand="1" w:evenHBand="0" w:firstRowFirstColumn="0" w:firstRowLastColumn="0" w:lastRowFirstColumn="0" w:lastRowLastColumn="0"/>
              <w:rPr>
                <w:sz w:val="20"/>
                <w:szCs w:val="20"/>
              </w:rPr>
            </w:pPr>
            <w:r w:rsidRPr="009D0009">
              <w:rPr>
                <w:sz w:val="20"/>
                <w:szCs w:val="20"/>
              </w:rPr>
              <w:t>11%</w:t>
            </w:r>
          </w:p>
        </w:tc>
      </w:tr>
      <w:tr w:rsidR="00455ABB" w:rsidRPr="008D1C70" w14:paraId="241CE847" w14:textId="77777777" w:rsidTr="00A83930">
        <w:trPr>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15EA3C2" w14:textId="0033D7EE" w:rsidR="00455ABB" w:rsidRPr="009D0009" w:rsidRDefault="00C35437" w:rsidP="00B24877">
            <w:pPr>
              <w:ind w:firstLine="720"/>
              <w:rPr>
                <w:bCs w:val="0"/>
                <w:sz w:val="20"/>
                <w:szCs w:val="20"/>
              </w:rPr>
            </w:pPr>
            <w:r w:rsidRPr="009D0009">
              <w:rPr>
                <w:bCs w:val="0"/>
                <w:sz w:val="20"/>
                <w:szCs w:val="20"/>
              </w:rPr>
              <w:t>Total</w:t>
            </w:r>
          </w:p>
        </w:tc>
        <w:tc>
          <w:tcPr>
            <w:tcW w:w="1980" w:type="dxa"/>
            <w:noWrap/>
            <w:hideMark/>
          </w:tcPr>
          <w:p w14:paraId="06BD3813" w14:textId="77777777" w:rsidR="00455ABB" w:rsidRPr="009D0009" w:rsidRDefault="00455ABB" w:rsidP="00B24877">
            <w:pPr>
              <w:ind w:firstLine="720"/>
              <w:cnfStyle w:val="000000000000" w:firstRow="0" w:lastRow="0" w:firstColumn="0" w:lastColumn="0" w:oddVBand="0" w:evenVBand="0" w:oddHBand="0" w:evenHBand="0" w:firstRowFirstColumn="0" w:firstRowLastColumn="0" w:lastRowFirstColumn="0" w:lastRowLastColumn="0"/>
              <w:rPr>
                <w:b/>
                <w:sz w:val="20"/>
                <w:szCs w:val="20"/>
              </w:rPr>
            </w:pPr>
            <w:r w:rsidRPr="009D0009">
              <w:rPr>
                <w:b/>
                <w:sz w:val="20"/>
                <w:szCs w:val="20"/>
              </w:rPr>
              <w:t>100%</w:t>
            </w:r>
          </w:p>
        </w:tc>
      </w:tr>
    </w:tbl>
    <w:p w14:paraId="0407A830" w14:textId="77777777" w:rsidR="00CD63F6" w:rsidRDefault="00CD63F6" w:rsidP="00CD63F6">
      <w:pPr>
        <w:pStyle w:val="ListParagraph"/>
      </w:pPr>
    </w:p>
    <w:p w14:paraId="109CC40B" w14:textId="57802943" w:rsidR="00CD63F6" w:rsidRDefault="0030371C" w:rsidP="00CD63F6">
      <w:pPr>
        <w:pStyle w:val="ListParagraph"/>
        <w:ind w:left="0" w:firstLine="720"/>
      </w:pPr>
      <w:proofErr w:type="gramStart"/>
      <w:r>
        <w:lastRenderedPageBreak/>
        <w:t>Applying</w:t>
      </w:r>
      <w:r w:rsidR="00CD63F6">
        <w:t xml:space="preserve"> these allocation factors to each of the </w:t>
      </w:r>
      <w:r w:rsidR="002B4AB7">
        <w:t>10</w:t>
      </w:r>
      <w:r w:rsidR="006D28E5">
        <w:t>00MW</w:t>
      </w:r>
      <w:r w:rsidR="00CD63F6">
        <w:t xml:space="preserve"> </w:t>
      </w:r>
      <w:r w:rsidR="00B31DC2">
        <w:t xml:space="preserve">tranches </w:t>
      </w:r>
      <w:r w:rsidR="00CD63F6">
        <w:t xml:space="preserve">of distributed solar results in the modeling assumptions shown </w:t>
      </w:r>
      <w:r w:rsidR="00CD63F6" w:rsidRPr="00A83930">
        <w:t xml:space="preserve">in Table </w:t>
      </w:r>
      <w:r w:rsidR="00455ABB">
        <w:t>3</w:t>
      </w:r>
      <w:r w:rsidR="00455ABB" w:rsidRPr="00A83930">
        <w:t xml:space="preserve"> </w:t>
      </w:r>
      <w:r w:rsidR="00CD63F6">
        <w:t>below.</w:t>
      </w:r>
      <w:proofErr w:type="gramEnd"/>
      <w:r w:rsidR="00CD63F6">
        <w:t xml:space="preserve"> </w:t>
      </w:r>
    </w:p>
    <w:p w14:paraId="69198813" w14:textId="77777777" w:rsidR="001A7FA8" w:rsidRDefault="001A7FA8" w:rsidP="00CD63F6">
      <w:pPr>
        <w:pStyle w:val="ListParagraph"/>
        <w:ind w:left="0" w:firstLine="720"/>
      </w:pPr>
    </w:p>
    <w:p w14:paraId="138635F2" w14:textId="77777777" w:rsidR="00CD63F6" w:rsidRPr="001A7FA8" w:rsidRDefault="00CD63F6" w:rsidP="00CD63F6">
      <w:pPr>
        <w:rPr>
          <w:b/>
        </w:rPr>
      </w:pPr>
      <w:r w:rsidRPr="001A7FA8">
        <w:rPr>
          <w:b/>
        </w:rPr>
        <w:t xml:space="preserve">Table </w:t>
      </w:r>
      <w:r w:rsidR="00455ABB">
        <w:rPr>
          <w:b/>
        </w:rPr>
        <w:t>3</w:t>
      </w:r>
      <w:r w:rsidR="00B31DC2">
        <w:rPr>
          <w:b/>
        </w:rPr>
        <w:t>:</w:t>
      </w:r>
      <w:r w:rsidR="00B31DC2" w:rsidRPr="001A7FA8">
        <w:rPr>
          <w:b/>
        </w:rPr>
        <w:t xml:space="preserve"> </w:t>
      </w:r>
      <w:r w:rsidRPr="001A7FA8">
        <w:rPr>
          <w:b/>
        </w:rPr>
        <w:t>Distributed Solar Assumptions for GPC</w:t>
      </w:r>
      <w:r w:rsidR="001A7FA8">
        <w:rPr>
          <w:b/>
        </w:rPr>
        <w:t xml:space="preserve"> (MW</w:t>
      </w:r>
      <w:r w:rsidR="00660141">
        <w:rPr>
          <w:b/>
        </w:rPr>
        <w:t xml:space="preserve"> AC</w:t>
      </w:r>
      <w:r w:rsidR="001A7FA8">
        <w:rPr>
          <w:b/>
        </w:rPr>
        <w:t>)</w:t>
      </w:r>
    </w:p>
    <w:tbl>
      <w:tblPr>
        <w:tblStyle w:val="LightList-Accent1"/>
        <w:tblW w:w="9576" w:type="dxa"/>
        <w:tblLayout w:type="fixed"/>
        <w:tblLook w:val="0420" w:firstRow="1" w:lastRow="0" w:firstColumn="0" w:lastColumn="0" w:noHBand="0" w:noVBand="1"/>
      </w:tblPr>
      <w:tblGrid>
        <w:gridCol w:w="1818"/>
        <w:gridCol w:w="630"/>
        <w:gridCol w:w="864"/>
        <w:gridCol w:w="1044"/>
        <w:gridCol w:w="1044"/>
        <w:gridCol w:w="1044"/>
        <w:gridCol w:w="1044"/>
        <w:gridCol w:w="1044"/>
        <w:gridCol w:w="1044"/>
      </w:tblGrid>
      <w:tr w:rsidR="00455ABB" w:rsidRPr="0062301F" w14:paraId="2E161460" w14:textId="77777777" w:rsidTr="00E16FE4">
        <w:trPr>
          <w:cnfStyle w:val="100000000000" w:firstRow="1" w:lastRow="0" w:firstColumn="0" w:lastColumn="0" w:oddVBand="0" w:evenVBand="0" w:oddHBand="0" w:evenHBand="0" w:firstRowFirstColumn="0" w:firstRowLastColumn="0" w:lastRowFirstColumn="0" w:lastRowLastColumn="0"/>
          <w:trHeight w:val="300"/>
        </w:trPr>
        <w:tc>
          <w:tcPr>
            <w:tcW w:w="1818" w:type="dxa"/>
            <w:hideMark/>
          </w:tcPr>
          <w:p w14:paraId="1ED02DC1" w14:textId="77777777" w:rsidR="00771B83" w:rsidRPr="00B764CA" w:rsidRDefault="00771B83" w:rsidP="00B24877">
            <w:pPr>
              <w:spacing w:line="300" w:lineRule="atLeast"/>
              <w:textAlignment w:val="bottom"/>
              <w:rPr>
                <w:rFonts w:eastAsia="Times New Roman" w:cs="Arial"/>
              </w:rPr>
            </w:pPr>
            <w:r w:rsidRPr="00B764CA">
              <w:rPr>
                <w:rFonts w:eastAsia="Times New Roman" w:cs="Arial"/>
                <w:b w:val="0"/>
                <w:bCs w:val="0"/>
                <w:color w:val="FFFFFF" w:themeColor="light1"/>
                <w:kern w:val="24"/>
              </w:rPr>
              <w:t>GPC</w:t>
            </w:r>
          </w:p>
        </w:tc>
        <w:tc>
          <w:tcPr>
            <w:tcW w:w="630" w:type="dxa"/>
            <w:hideMark/>
          </w:tcPr>
          <w:p w14:paraId="3377F85E"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bCs w:val="0"/>
                <w:color w:val="FFFFFF" w:themeColor="light1"/>
                <w:kern w:val="24"/>
                <w:sz w:val="20"/>
                <w:szCs w:val="20"/>
              </w:rPr>
              <w:t>1000</w:t>
            </w:r>
          </w:p>
        </w:tc>
        <w:tc>
          <w:tcPr>
            <w:tcW w:w="864" w:type="dxa"/>
          </w:tcPr>
          <w:p w14:paraId="1C7FEAEB"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2000</w:t>
            </w:r>
          </w:p>
        </w:tc>
        <w:tc>
          <w:tcPr>
            <w:tcW w:w="1044" w:type="dxa"/>
          </w:tcPr>
          <w:p w14:paraId="7263F8C2"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3000</w:t>
            </w:r>
          </w:p>
        </w:tc>
        <w:tc>
          <w:tcPr>
            <w:tcW w:w="1044" w:type="dxa"/>
          </w:tcPr>
          <w:p w14:paraId="004B1DF2"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4000</w:t>
            </w:r>
          </w:p>
        </w:tc>
        <w:tc>
          <w:tcPr>
            <w:tcW w:w="1044" w:type="dxa"/>
          </w:tcPr>
          <w:p w14:paraId="5CC87CF1"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5000</w:t>
            </w:r>
          </w:p>
        </w:tc>
        <w:tc>
          <w:tcPr>
            <w:tcW w:w="1044" w:type="dxa"/>
          </w:tcPr>
          <w:p w14:paraId="126E13F4"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6000</w:t>
            </w:r>
          </w:p>
        </w:tc>
        <w:tc>
          <w:tcPr>
            <w:tcW w:w="1044" w:type="dxa"/>
          </w:tcPr>
          <w:p w14:paraId="240036CF"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7000</w:t>
            </w:r>
          </w:p>
        </w:tc>
        <w:tc>
          <w:tcPr>
            <w:tcW w:w="1044" w:type="dxa"/>
          </w:tcPr>
          <w:p w14:paraId="37435B65" w14:textId="77777777" w:rsidR="00771B83" w:rsidRPr="002B4AB7" w:rsidRDefault="002B4AB7" w:rsidP="00B764CA">
            <w:pPr>
              <w:spacing w:line="300" w:lineRule="atLeast"/>
              <w:jc w:val="center"/>
              <w:textAlignment w:val="bottom"/>
              <w:rPr>
                <w:rFonts w:eastAsia="Times New Roman" w:cs="Arial"/>
                <w:sz w:val="20"/>
                <w:szCs w:val="20"/>
              </w:rPr>
            </w:pPr>
            <w:r w:rsidRPr="002B4AB7">
              <w:rPr>
                <w:rFonts w:eastAsia="Times New Roman" w:cs="Arial"/>
                <w:sz w:val="20"/>
                <w:szCs w:val="20"/>
              </w:rPr>
              <w:t>8000</w:t>
            </w:r>
          </w:p>
        </w:tc>
      </w:tr>
      <w:tr w:rsidR="002B4AB7" w:rsidRPr="0062301F" w14:paraId="5657748B" w14:textId="77777777" w:rsidTr="00E16FE4">
        <w:trPr>
          <w:cnfStyle w:val="000000100000" w:firstRow="0" w:lastRow="0" w:firstColumn="0" w:lastColumn="0" w:oddVBand="0" w:evenVBand="0" w:oddHBand="1" w:evenHBand="0" w:firstRowFirstColumn="0" w:firstRowLastColumn="0" w:lastRowFirstColumn="0" w:lastRowLastColumn="0"/>
          <w:trHeight w:val="186"/>
        </w:trPr>
        <w:tc>
          <w:tcPr>
            <w:tcW w:w="1818" w:type="dxa"/>
            <w:hideMark/>
          </w:tcPr>
          <w:p w14:paraId="201862D2"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color w:val="000000" w:themeColor="dark1"/>
                <w:kern w:val="24"/>
              </w:rPr>
              <w:t>Atlanta</w:t>
            </w:r>
          </w:p>
        </w:tc>
        <w:tc>
          <w:tcPr>
            <w:tcW w:w="630" w:type="dxa"/>
            <w:hideMark/>
          </w:tcPr>
          <w:p w14:paraId="6293D1C0"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630</w:t>
            </w:r>
          </w:p>
        </w:tc>
        <w:tc>
          <w:tcPr>
            <w:tcW w:w="864" w:type="dxa"/>
            <w:hideMark/>
          </w:tcPr>
          <w:p w14:paraId="5BE2AD2E"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1260</w:t>
            </w:r>
          </w:p>
        </w:tc>
        <w:tc>
          <w:tcPr>
            <w:tcW w:w="1044" w:type="dxa"/>
            <w:hideMark/>
          </w:tcPr>
          <w:p w14:paraId="221AB646"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1890</w:t>
            </w:r>
          </w:p>
        </w:tc>
        <w:tc>
          <w:tcPr>
            <w:tcW w:w="1044" w:type="dxa"/>
            <w:hideMark/>
          </w:tcPr>
          <w:p w14:paraId="75CF58DE"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2520</w:t>
            </w:r>
          </w:p>
        </w:tc>
        <w:tc>
          <w:tcPr>
            <w:tcW w:w="1044" w:type="dxa"/>
            <w:hideMark/>
          </w:tcPr>
          <w:p w14:paraId="2E913AC1"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3150</w:t>
            </w:r>
          </w:p>
        </w:tc>
        <w:tc>
          <w:tcPr>
            <w:tcW w:w="1044" w:type="dxa"/>
            <w:hideMark/>
          </w:tcPr>
          <w:p w14:paraId="1487CC91"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3780</w:t>
            </w:r>
          </w:p>
        </w:tc>
        <w:tc>
          <w:tcPr>
            <w:tcW w:w="1044" w:type="dxa"/>
            <w:hideMark/>
          </w:tcPr>
          <w:p w14:paraId="38BF90F9"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4410</w:t>
            </w:r>
          </w:p>
        </w:tc>
        <w:tc>
          <w:tcPr>
            <w:tcW w:w="1044" w:type="dxa"/>
            <w:hideMark/>
          </w:tcPr>
          <w:p w14:paraId="28296013"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5040</w:t>
            </w:r>
          </w:p>
        </w:tc>
      </w:tr>
      <w:tr w:rsidR="002B4AB7" w:rsidRPr="0062301F" w14:paraId="2A748EA9" w14:textId="77777777" w:rsidTr="00E16FE4">
        <w:trPr>
          <w:trHeight w:val="300"/>
        </w:trPr>
        <w:tc>
          <w:tcPr>
            <w:tcW w:w="1818" w:type="dxa"/>
            <w:hideMark/>
          </w:tcPr>
          <w:p w14:paraId="741EE8D0"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color w:val="000000" w:themeColor="dark1"/>
                <w:kern w:val="24"/>
              </w:rPr>
              <w:t>Columbus</w:t>
            </w:r>
          </w:p>
        </w:tc>
        <w:tc>
          <w:tcPr>
            <w:tcW w:w="630" w:type="dxa"/>
            <w:hideMark/>
          </w:tcPr>
          <w:p w14:paraId="60D6581D"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90</w:t>
            </w:r>
          </w:p>
        </w:tc>
        <w:tc>
          <w:tcPr>
            <w:tcW w:w="864" w:type="dxa"/>
            <w:hideMark/>
          </w:tcPr>
          <w:p w14:paraId="19FF4799"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180</w:t>
            </w:r>
          </w:p>
        </w:tc>
        <w:tc>
          <w:tcPr>
            <w:tcW w:w="1044" w:type="dxa"/>
            <w:hideMark/>
          </w:tcPr>
          <w:p w14:paraId="716A841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270</w:t>
            </w:r>
          </w:p>
        </w:tc>
        <w:tc>
          <w:tcPr>
            <w:tcW w:w="1044" w:type="dxa"/>
            <w:hideMark/>
          </w:tcPr>
          <w:p w14:paraId="1E5B039C"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360</w:t>
            </w:r>
          </w:p>
        </w:tc>
        <w:tc>
          <w:tcPr>
            <w:tcW w:w="1044" w:type="dxa"/>
            <w:hideMark/>
          </w:tcPr>
          <w:p w14:paraId="24A63EA2"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450</w:t>
            </w:r>
          </w:p>
        </w:tc>
        <w:tc>
          <w:tcPr>
            <w:tcW w:w="1044" w:type="dxa"/>
            <w:hideMark/>
          </w:tcPr>
          <w:p w14:paraId="18BD80D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540</w:t>
            </w:r>
          </w:p>
        </w:tc>
        <w:tc>
          <w:tcPr>
            <w:tcW w:w="1044" w:type="dxa"/>
            <w:hideMark/>
          </w:tcPr>
          <w:p w14:paraId="39050748"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630</w:t>
            </w:r>
          </w:p>
        </w:tc>
        <w:tc>
          <w:tcPr>
            <w:tcW w:w="1044" w:type="dxa"/>
            <w:hideMark/>
          </w:tcPr>
          <w:p w14:paraId="10F53811"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720</w:t>
            </w:r>
          </w:p>
        </w:tc>
      </w:tr>
      <w:tr w:rsidR="002B4AB7" w:rsidRPr="0062301F" w14:paraId="7E7F4A98" w14:textId="77777777" w:rsidTr="00E16FE4">
        <w:trPr>
          <w:cnfStyle w:val="000000100000" w:firstRow="0" w:lastRow="0" w:firstColumn="0" w:lastColumn="0" w:oddVBand="0" w:evenVBand="0" w:oddHBand="1" w:evenHBand="0" w:firstRowFirstColumn="0" w:firstRowLastColumn="0" w:lastRowFirstColumn="0" w:lastRowLastColumn="0"/>
          <w:trHeight w:val="300"/>
        </w:trPr>
        <w:tc>
          <w:tcPr>
            <w:tcW w:w="1818" w:type="dxa"/>
            <w:hideMark/>
          </w:tcPr>
          <w:p w14:paraId="5491C2DC"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color w:val="000000" w:themeColor="dark1"/>
                <w:kern w:val="24"/>
              </w:rPr>
              <w:t>Macon</w:t>
            </w:r>
          </w:p>
        </w:tc>
        <w:tc>
          <w:tcPr>
            <w:tcW w:w="630" w:type="dxa"/>
            <w:hideMark/>
          </w:tcPr>
          <w:p w14:paraId="76ED471D"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100</w:t>
            </w:r>
          </w:p>
        </w:tc>
        <w:tc>
          <w:tcPr>
            <w:tcW w:w="864" w:type="dxa"/>
            <w:hideMark/>
          </w:tcPr>
          <w:p w14:paraId="07CE1189"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200</w:t>
            </w:r>
          </w:p>
        </w:tc>
        <w:tc>
          <w:tcPr>
            <w:tcW w:w="1044" w:type="dxa"/>
            <w:hideMark/>
          </w:tcPr>
          <w:p w14:paraId="07835AC3"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300</w:t>
            </w:r>
          </w:p>
        </w:tc>
        <w:tc>
          <w:tcPr>
            <w:tcW w:w="1044" w:type="dxa"/>
            <w:hideMark/>
          </w:tcPr>
          <w:p w14:paraId="553DA1D6"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400</w:t>
            </w:r>
          </w:p>
        </w:tc>
        <w:tc>
          <w:tcPr>
            <w:tcW w:w="1044" w:type="dxa"/>
            <w:hideMark/>
          </w:tcPr>
          <w:p w14:paraId="38767505"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500</w:t>
            </w:r>
          </w:p>
        </w:tc>
        <w:tc>
          <w:tcPr>
            <w:tcW w:w="1044" w:type="dxa"/>
            <w:hideMark/>
          </w:tcPr>
          <w:p w14:paraId="33741855"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600</w:t>
            </w:r>
          </w:p>
        </w:tc>
        <w:tc>
          <w:tcPr>
            <w:tcW w:w="1044" w:type="dxa"/>
            <w:hideMark/>
          </w:tcPr>
          <w:p w14:paraId="07D654B7"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700</w:t>
            </w:r>
          </w:p>
        </w:tc>
        <w:tc>
          <w:tcPr>
            <w:tcW w:w="1044" w:type="dxa"/>
            <w:hideMark/>
          </w:tcPr>
          <w:p w14:paraId="447CB02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800</w:t>
            </w:r>
          </w:p>
        </w:tc>
      </w:tr>
      <w:tr w:rsidR="002B4AB7" w:rsidRPr="0062301F" w14:paraId="542E024A" w14:textId="77777777" w:rsidTr="00E16FE4">
        <w:trPr>
          <w:trHeight w:val="300"/>
        </w:trPr>
        <w:tc>
          <w:tcPr>
            <w:tcW w:w="1818" w:type="dxa"/>
            <w:hideMark/>
          </w:tcPr>
          <w:p w14:paraId="745D956A"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color w:val="000000" w:themeColor="dark1"/>
                <w:kern w:val="24"/>
              </w:rPr>
              <w:t>Augusta</w:t>
            </w:r>
          </w:p>
        </w:tc>
        <w:tc>
          <w:tcPr>
            <w:tcW w:w="630" w:type="dxa"/>
            <w:hideMark/>
          </w:tcPr>
          <w:p w14:paraId="4539E870"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70</w:t>
            </w:r>
          </w:p>
        </w:tc>
        <w:tc>
          <w:tcPr>
            <w:tcW w:w="864" w:type="dxa"/>
            <w:hideMark/>
          </w:tcPr>
          <w:p w14:paraId="5996DDF0"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140</w:t>
            </w:r>
          </w:p>
        </w:tc>
        <w:tc>
          <w:tcPr>
            <w:tcW w:w="1044" w:type="dxa"/>
            <w:hideMark/>
          </w:tcPr>
          <w:p w14:paraId="0BCD2472"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210</w:t>
            </w:r>
          </w:p>
        </w:tc>
        <w:tc>
          <w:tcPr>
            <w:tcW w:w="1044" w:type="dxa"/>
            <w:hideMark/>
          </w:tcPr>
          <w:p w14:paraId="57FBDE3D"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280</w:t>
            </w:r>
          </w:p>
        </w:tc>
        <w:tc>
          <w:tcPr>
            <w:tcW w:w="1044" w:type="dxa"/>
            <w:hideMark/>
          </w:tcPr>
          <w:p w14:paraId="7489A62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350</w:t>
            </w:r>
          </w:p>
        </w:tc>
        <w:tc>
          <w:tcPr>
            <w:tcW w:w="1044" w:type="dxa"/>
            <w:hideMark/>
          </w:tcPr>
          <w:p w14:paraId="5FB8C1E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420</w:t>
            </w:r>
          </w:p>
        </w:tc>
        <w:tc>
          <w:tcPr>
            <w:tcW w:w="1044" w:type="dxa"/>
            <w:hideMark/>
          </w:tcPr>
          <w:p w14:paraId="4DF44FC7"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490</w:t>
            </w:r>
          </w:p>
        </w:tc>
        <w:tc>
          <w:tcPr>
            <w:tcW w:w="1044" w:type="dxa"/>
            <w:hideMark/>
          </w:tcPr>
          <w:p w14:paraId="30A5655A"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560</w:t>
            </w:r>
          </w:p>
        </w:tc>
      </w:tr>
      <w:tr w:rsidR="002B4AB7" w:rsidRPr="0062301F" w14:paraId="44F91699" w14:textId="77777777" w:rsidTr="00E16FE4">
        <w:trPr>
          <w:cnfStyle w:val="000000100000" w:firstRow="0" w:lastRow="0" w:firstColumn="0" w:lastColumn="0" w:oddVBand="0" w:evenVBand="0" w:oddHBand="1" w:evenHBand="0" w:firstRowFirstColumn="0" w:firstRowLastColumn="0" w:lastRowFirstColumn="0" w:lastRowLastColumn="0"/>
          <w:trHeight w:val="300"/>
        </w:trPr>
        <w:tc>
          <w:tcPr>
            <w:tcW w:w="1818" w:type="dxa"/>
            <w:hideMark/>
          </w:tcPr>
          <w:p w14:paraId="041AAD80"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color w:val="000000" w:themeColor="dark1"/>
                <w:kern w:val="24"/>
              </w:rPr>
              <w:t>Albany/Valdosta</w:t>
            </w:r>
          </w:p>
        </w:tc>
        <w:tc>
          <w:tcPr>
            <w:tcW w:w="630" w:type="dxa"/>
            <w:hideMark/>
          </w:tcPr>
          <w:p w14:paraId="0E7EA819"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110</w:t>
            </w:r>
          </w:p>
        </w:tc>
        <w:tc>
          <w:tcPr>
            <w:tcW w:w="864" w:type="dxa"/>
            <w:hideMark/>
          </w:tcPr>
          <w:p w14:paraId="2C037B15"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220</w:t>
            </w:r>
          </w:p>
        </w:tc>
        <w:tc>
          <w:tcPr>
            <w:tcW w:w="1044" w:type="dxa"/>
            <w:hideMark/>
          </w:tcPr>
          <w:p w14:paraId="1C95B0B8"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330</w:t>
            </w:r>
          </w:p>
        </w:tc>
        <w:tc>
          <w:tcPr>
            <w:tcW w:w="1044" w:type="dxa"/>
            <w:hideMark/>
          </w:tcPr>
          <w:p w14:paraId="35A93F63"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440</w:t>
            </w:r>
          </w:p>
        </w:tc>
        <w:tc>
          <w:tcPr>
            <w:tcW w:w="1044" w:type="dxa"/>
            <w:hideMark/>
          </w:tcPr>
          <w:p w14:paraId="38F189D0"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550</w:t>
            </w:r>
          </w:p>
        </w:tc>
        <w:tc>
          <w:tcPr>
            <w:tcW w:w="1044" w:type="dxa"/>
            <w:hideMark/>
          </w:tcPr>
          <w:p w14:paraId="2540CA07"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660</w:t>
            </w:r>
          </w:p>
        </w:tc>
        <w:tc>
          <w:tcPr>
            <w:tcW w:w="1044" w:type="dxa"/>
            <w:hideMark/>
          </w:tcPr>
          <w:p w14:paraId="419343BD"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770</w:t>
            </w:r>
          </w:p>
        </w:tc>
        <w:tc>
          <w:tcPr>
            <w:tcW w:w="1044" w:type="dxa"/>
            <w:hideMark/>
          </w:tcPr>
          <w:p w14:paraId="499A714B" w14:textId="77777777" w:rsidR="002B4AB7" w:rsidRPr="008110CF" w:rsidRDefault="002B4AB7" w:rsidP="00B764CA">
            <w:pPr>
              <w:spacing w:line="300" w:lineRule="atLeast"/>
              <w:jc w:val="center"/>
              <w:textAlignment w:val="bottom"/>
              <w:rPr>
                <w:rFonts w:ascii="Arial" w:eastAsia="Times New Roman" w:hAnsi="Arial" w:cs="Arial"/>
                <w:sz w:val="20"/>
              </w:rPr>
            </w:pPr>
            <w:r w:rsidRPr="008110CF">
              <w:rPr>
                <w:sz w:val="20"/>
              </w:rPr>
              <w:t>880</w:t>
            </w:r>
          </w:p>
        </w:tc>
      </w:tr>
      <w:tr w:rsidR="002B4AB7" w:rsidRPr="0062301F" w14:paraId="3B0964C1" w14:textId="77777777" w:rsidTr="00E16FE4">
        <w:trPr>
          <w:trHeight w:val="136"/>
        </w:trPr>
        <w:tc>
          <w:tcPr>
            <w:tcW w:w="1818" w:type="dxa"/>
            <w:hideMark/>
          </w:tcPr>
          <w:p w14:paraId="22E4C8F2" w14:textId="77777777" w:rsidR="002B4AB7" w:rsidRPr="0062301F" w:rsidRDefault="002B4AB7" w:rsidP="00B24877">
            <w:pPr>
              <w:spacing w:line="300" w:lineRule="atLeast"/>
              <w:textAlignment w:val="bottom"/>
              <w:rPr>
                <w:rFonts w:ascii="Arial" w:eastAsia="Times New Roman" w:hAnsi="Arial" w:cs="Arial"/>
              </w:rPr>
            </w:pPr>
            <w:r w:rsidRPr="0062301F">
              <w:rPr>
                <w:rFonts w:ascii="Calibri" w:eastAsia="Times New Roman" w:hAnsi="Calibri" w:cs="Arial"/>
                <w:b/>
                <w:bCs/>
                <w:color w:val="000000" w:themeColor="dark1"/>
                <w:kern w:val="24"/>
              </w:rPr>
              <w:t>Total</w:t>
            </w:r>
          </w:p>
        </w:tc>
        <w:tc>
          <w:tcPr>
            <w:tcW w:w="630" w:type="dxa"/>
            <w:hideMark/>
          </w:tcPr>
          <w:p w14:paraId="3DFDABD4"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1000</w:t>
            </w:r>
          </w:p>
        </w:tc>
        <w:tc>
          <w:tcPr>
            <w:tcW w:w="864" w:type="dxa"/>
            <w:hideMark/>
          </w:tcPr>
          <w:p w14:paraId="47B5BB88"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2000</w:t>
            </w:r>
          </w:p>
        </w:tc>
        <w:tc>
          <w:tcPr>
            <w:tcW w:w="1044" w:type="dxa"/>
            <w:hideMark/>
          </w:tcPr>
          <w:p w14:paraId="21E8303E"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3000</w:t>
            </w:r>
          </w:p>
        </w:tc>
        <w:tc>
          <w:tcPr>
            <w:tcW w:w="1044" w:type="dxa"/>
            <w:hideMark/>
          </w:tcPr>
          <w:p w14:paraId="638F7A36"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4000</w:t>
            </w:r>
          </w:p>
        </w:tc>
        <w:tc>
          <w:tcPr>
            <w:tcW w:w="1044" w:type="dxa"/>
            <w:hideMark/>
          </w:tcPr>
          <w:p w14:paraId="12505298"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5000</w:t>
            </w:r>
          </w:p>
        </w:tc>
        <w:tc>
          <w:tcPr>
            <w:tcW w:w="1044" w:type="dxa"/>
            <w:hideMark/>
          </w:tcPr>
          <w:p w14:paraId="2E7D570E"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6000</w:t>
            </w:r>
          </w:p>
        </w:tc>
        <w:tc>
          <w:tcPr>
            <w:tcW w:w="1044" w:type="dxa"/>
            <w:hideMark/>
          </w:tcPr>
          <w:p w14:paraId="198172A7"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7000</w:t>
            </w:r>
          </w:p>
        </w:tc>
        <w:tc>
          <w:tcPr>
            <w:tcW w:w="1044" w:type="dxa"/>
            <w:hideMark/>
          </w:tcPr>
          <w:p w14:paraId="16183DD9" w14:textId="77777777" w:rsidR="002B4AB7" w:rsidRPr="002B4AB7" w:rsidRDefault="002B4AB7" w:rsidP="00B764CA">
            <w:pPr>
              <w:spacing w:line="300" w:lineRule="atLeast"/>
              <w:jc w:val="center"/>
              <w:textAlignment w:val="bottom"/>
              <w:rPr>
                <w:rFonts w:ascii="Arial" w:eastAsia="Times New Roman" w:hAnsi="Arial" w:cs="Arial"/>
                <w:b/>
                <w:sz w:val="20"/>
                <w:szCs w:val="20"/>
              </w:rPr>
            </w:pPr>
            <w:r w:rsidRPr="002B4AB7">
              <w:rPr>
                <w:b/>
                <w:sz w:val="20"/>
                <w:szCs w:val="20"/>
              </w:rPr>
              <w:t>8000</w:t>
            </w:r>
          </w:p>
        </w:tc>
      </w:tr>
    </w:tbl>
    <w:p w14:paraId="726B1F6B" w14:textId="77777777" w:rsidR="00CD63F6" w:rsidRDefault="00CD63F6" w:rsidP="00CD63F6"/>
    <w:p w14:paraId="12A14DE0" w14:textId="1C9BF391" w:rsidR="00CD63F6" w:rsidRDefault="0061699B" w:rsidP="00CD63F6">
      <w:pPr>
        <w:ind w:firstLine="720"/>
      </w:pPr>
      <w:r>
        <w:t xml:space="preserve">Knowledge of </w:t>
      </w:r>
      <w:r w:rsidR="00DF1642">
        <w:t xml:space="preserve">DC-AC </w:t>
      </w:r>
      <w:r w:rsidR="00AA2ED9">
        <w:t>R</w:t>
      </w:r>
      <w:r w:rsidR="00DF1642">
        <w:t xml:space="preserve">atios, </w:t>
      </w:r>
      <w:r w:rsidR="00AA2ED9">
        <w:t>T</w:t>
      </w:r>
      <w:r w:rsidR="00DF1642">
        <w:t xml:space="preserve">ilt, and </w:t>
      </w:r>
      <w:r w:rsidR="00AA2ED9">
        <w:t>A</w:t>
      </w:r>
      <w:r w:rsidR="00DF1642">
        <w:t xml:space="preserve">zimuth configurations are vitally important to this analysis because they </w:t>
      </w:r>
      <w:r w:rsidR="00660141">
        <w:t xml:space="preserve">each </w:t>
      </w:r>
      <w:r w:rsidR="00DF1642">
        <w:t>can affect the assumed profile and</w:t>
      </w:r>
      <w:r w:rsidR="0030371C">
        <w:t>,</w:t>
      </w:r>
      <w:r w:rsidR="00DF1642">
        <w:t xml:space="preserve"> therefore</w:t>
      </w:r>
      <w:r w:rsidR="0030371C">
        <w:t>,</w:t>
      </w:r>
      <w:r w:rsidR="00DF1642">
        <w:t xml:space="preserve"> they all can affect the avoided energy and deferred capacity benefits associated with distributed solar.  </w:t>
      </w:r>
      <w:r w:rsidR="00226B44">
        <w:t xml:space="preserve">Given the numerous variations presented by these configurations, it was determined that </w:t>
      </w:r>
      <w:r w:rsidR="00CD63F6">
        <w:t>a generalized assumption based on reasonable values would be the most appropriate approach for these variables.</w:t>
      </w:r>
    </w:p>
    <w:p w14:paraId="5135438B" w14:textId="77777777" w:rsidR="00CD63F6" w:rsidRPr="00A92701" w:rsidRDefault="00CD63F6" w:rsidP="00CD63F6">
      <w:pPr>
        <w:ind w:firstLine="720"/>
      </w:pPr>
      <w:r>
        <w:t>For</w:t>
      </w:r>
      <w:r w:rsidRPr="00A92701">
        <w:t xml:space="preserve"> DC-AC Ratios</w:t>
      </w:r>
      <w:r>
        <w:t xml:space="preserve">, a general assumption of 1.2 was made based on </w:t>
      </w:r>
      <w:r w:rsidR="00301D1D">
        <w:t xml:space="preserve">a </w:t>
      </w:r>
      <w:r>
        <w:t xml:space="preserve">review of typical distribution solar </w:t>
      </w:r>
      <w:r w:rsidR="00BA5406">
        <w:t>installation</w:t>
      </w:r>
      <w:r w:rsidR="00E93DAC">
        <w:t>s</w:t>
      </w:r>
      <w:r>
        <w:t>.</w:t>
      </w:r>
    </w:p>
    <w:p w14:paraId="036D1C0B" w14:textId="77777777" w:rsidR="00CD63F6" w:rsidRDefault="00AA2ED9" w:rsidP="00CD63F6">
      <w:pPr>
        <w:ind w:firstLine="720"/>
      </w:pPr>
      <w:r>
        <w:t xml:space="preserve">Because it can be anticipated that distributed solar resources will be comprised primarily (if not almost exclusively) </w:t>
      </w:r>
      <w:r w:rsidR="00BA5406">
        <w:t xml:space="preserve">of </w:t>
      </w:r>
      <w:r>
        <w:t xml:space="preserve">rooftop residential and commercial installations, it </w:t>
      </w:r>
      <w:r w:rsidR="00CD63F6">
        <w:t xml:space="preserve">was assumed that none of the distributed resources would be implemented using single or dual axis tracking technology.  </w:t>
      </w:r>
      <w:r w:rsidR="00E93DAC">
        <w:t>Therefore,</w:t>
      </w:r>
      <w:r w:rsidR="00CD63F6">
        <w:t xml:space="preserve"> assumptions for Tilt and Azimuth associated with fixed axis implementation were established as follows: </w:t>
      </w:r>
    </w:p>
    <w:p w14:paraId="0BD97EBB" w14:textId="25AA8348" w:rsidR="00CD63F6" w:rsidRPr="00A92701" w:rsidRDefault="00CD63F6" w:rsidP="002F5A1D">
      <w:pPr>
        <w:pStyle w:val="ListParagraph"/>
        <w:numPr>
          <w:ilvl w:val="0"/>
          <w:numId w:val="20"/>
        </w:numPr>
      </w:pPr>
      <w:r>
        <w:t>For</w:t>
      </w:r>
      <w:r w:rsidRPr="00A92701">
        <w:t xml:space="preserve"> Tilt</w:t>
      </w:r>
      <w:r>
        <w:t xml:space="preserve">, it was noted that commercial PV </w:t>
      </w:r>
      <w:r w:rsidR="0030371C">
        <w:t xml:space="preserve">installed </w:t>
      </w:r>
      <w:r>
        <w:t xml:space="preserve">on flat roofs are often in the 10-15% (relative to horizontal) tilt range, while residential rooftops can have pitches ranging from 4/12 to 12/12, corresponding to tilts in the range of 18 to 45 degrees.  For an aggregate assumption, 20% tilt on average was used.  </w:t>
      </w:r>
    </w:p>
    <w:p w14:paraId="31DF9045" w14:textId="52D2BA66" w:rsidR="00CD63F6" w:rsidRPr="00A92701" w:rsidRDefault="00CD63F6" w:rsidP="002F5A1D">
      <w:pPr>
        <w:pStyle w:val="ListParagraph"/>
        <w:numPr>
          <w:ilvl w:val="0"/>
          <w:numId w:val="20"/>
        </w:numPr>
      </w:pPr>
      <w:r>
        <w:t>For</w:t>
      </w:r>
      <w:r w:rsidRPr="00A92701">
        <w:t xml:space="preserve"> Azimuth</w:t>
      </w:r>
      <w:r>
        <w:t xml:space="preserve">, it was presumed that </w:t>
      </w:r>
      <w:r w:rsidR="00226B44">
        <w:t xml:space="preserve">PV installations </w:t>
      </w:r>
      <w:r>
        <w:t>would</w:t>
      </w:r>
      <w:r w:rsidR="00226B44">
        <w:t xml:space="preserve"> trend</w:t>
      </w:r>
      <w:r>
        <w:t xml:space="preserve"> towards </w:t>
      </w:r>
      <w:r w:rsidR="00A7373E">
        <w:t>south facing</w:t>
      </w:r>
      <w:r>
        <w:t xml:space="preserve">, but that actual orientation would often be limited </w:t>
      </w:r>
      <w:r w:rsidR="00226B44">
        <w:t xml:space="preserve">based on </w:t>
      </w:r>
      <w:r>
        <w:t xml:space="preserve">the actual available architecture.  Therefore, it was assumed that there would be a wide range of implementations </w:t>
      </w:r>
      <w:r w:rsidR="00EB41A8">
        <w:t xml:space="preserve">facing </w:t>
      </w:r>
      <w:r>
        <w:t xml:space="preserve">generally </w:t>
      </w:r>
      <w:r w:rsidR="002F5A1D">
        <w:t xml:space="preserve">in the </w:t>
      </w:r>
      <w:r w:rsidR="00BA5406">
        <w:t xml:space="preserve">southern </w:t>
      </w:r>
      <w:r>
        <w:t>direction</w:t>
      </w:r>
      <w:r w:rsidR="00EB41A8">
        <w:t xml:space="preserve">:  </w:t>
      </w:r>
      <w:r>
        <w:t xml:space="preserve">1/3 of the installations would face </w:t>
      </w:r>
      <w:r w:rsidR="00BA5406">
        <w:t>southwest</w:t>
      </w:r>
      <w:r w:rsidR="0030371C">
        <w:t xml:space="preserve">; </w:t>
      </w:r>
      <w:r>
        <w:t xml:space="preserve">1/3 would face </w:t>
      </w:r>
      <w:r w:rsidR="00BA5406">
        <w:t>south</w:t>
      </w:r>
      <w:r w:rsidR="0030371C">
        <w:t xml:space="preserve">; </w:t>
      </w:r>
      <w:r>
        <w:t xml:space="preserve">and 1/3 would face </w:t>
      </w:r>
      <w:r w:rsidR="00BA5406">
        <w:t>southeast</w:t>
      </w:r>
      <w:r>
        <w:t xml:space="preserve">. </w:t>
      </w:r>
    </w:p>
    <w:p w14:paraId="68AE73B7" w14:textId="5DAC2FA8" w:rsidR="00CD1F5E" w:rsidRDefault="004425CA" w:rsidP="00CD63F6">
      <w:pPr>
        <w:ind w:firstLine="720"/>
      </w:pPr>
      <w:r>
        <w:t xml:space="preserve">To account for degradation of solar panels over time, a degradation factor of 0.5% per year was assumed and applied to the aggregate </w:t>
      </w:r>
      <w:r w:rsidR="00A7373E">
        <w:t>hourly-distributed</w:t>
      </w:r>
      <w:r>
        <w:t xml:space="preserve"> solar profile</w:t>
      </w:r>
      <w:r w:rsidR="00CD1F5E">
        <w:t xml:space="preserve">. </w:t>
      </w:r>
    </w:p>
    <w:p w14:paraId="079A2CB8" w14:textId="77777777" w:rsidR="00D237EA" w:rsidRDefault="00CD63F6" w:rsidP="00D237EA">
      <w:pPr>
        <w:ind w:firstLine="720"/>
      </w:pPr>
      <w:r>
        <w:t xml:space="preserve">In total, the above combinations of assumptions result in </w:t>
      </w:r>
      <w:r w:rsidR="00455ABB">
        <w:t xml:space="preserve">15 </w:t>
      </w:r>
      <w:r>
        <w:t xml:space="preserve">streams of hourly solar profiles for each </w:t>
      </w:r>
      <w:r w:rsidR="002B4AB7">
        <w:t xml:space="preserve">1000MW </w:t>
      </w:r>
      <w:r>
        <w:t xml:space="preserve">solar </w:t>
      </w:r>
      <w:r w:rsidR="00AA2ED9">
        <w:t>tranche</w:t>
      </w:r>
      <w:r>
        <w:t xml:space="preserve">.  These profiles were developed using </w:t>
      </w:r>
      <w:r w:rsidR="00AA2ED9">
        <w:t xml:space="preserve">the </w:t>
      </w:r>
      <w:proofErr w:type="spellStart"/>
      <w:r w:rsidR="00AA2ED9">
        <w:t>PVSyst</w:t>
      </w:r>
      <w:proofErr w:type="spellEnd"/>
      <w:r w:rsidR="00AA2ED9">
        <w:t xml:space="preserve"> </w:t>
      </w:r>
      <w:r>
        <w:t xml:space="preserve">solar profile modeling </w:t>
      </w:r>
      <w:r>
        <w:lastRenderedPageBreak/>
        <w:t xml:space="preserve">application and </w:t>
      </w:r>
      <w:r w:rsidR="00AA2ED9">
        <w:t xml:space="preserve">were </w:t>
      </w:r>
      <w:r>
        <w:t>weighted into an aggregate system-wide distributed solar hourly generation profile.  Arithmetically, this aggregate profile produce</w:t>
      </w:r>
      <w:r w:rsidR="00AA2ED9">
        <w:t>s</w:t>
      </w:r>
      <w:r>
        <w:t xml:space="preserve"> the same results as looking at each profile individually. </w:t>
      </w:r>
      <w:r w:rsidR="000018CD">
        <w:t xml:space="preserve"> </w:t>
      </w:r>
      <w:r w:rsidR="00D237EA">
        <w:t xml:space="preserve">Table </w:t>
      </w:r>
      <w:r w:rsidR="00455ABB">
        <w:t xml:space="preserve">4 </w:t>
      </w:r>
      <w:r w:rsidR="00D237EA">
        <w:t xml:space="preserve">below </w:t>
      </w:r>
      <w:r w:rsidR="00730397">
        <w:t>depicts</w:t>
      </w:r>
      <w:r w:rsidR="006F52BF">
        <w:t xml:space="preserve"> </w:t>
      </w:r>
      <w:r w:rsidR="00D237EA">
        <w:t>a monthly representation of the aggregate expected hourly output of these distributed solar tranches as a percentage of nominal installed (AC) capacity.</w:t>
      </w:r>
    </w:p>
    <w:p w14:paraId="4942A33D" w14:textId="77777777" w:rsidR="00044159" w:rsidRDefault="00044159" w:rsidP="00D237EA">
      <w:pPr>
        <w:ind w:firstLine="720"/>
      </w:pPr>
    </w:p>
    <w:p w14:paraId="110BDC73" w14:textId="77777777" w:rsidR="00D237EA" w:rsidRPr="007E507D" w:rsidRDefault="00D237EA" w:rsidP="00D237EA">
      <w:pPr>
        <w:rPr>
          <w:b/>
        </w:rPr>
      </w:pPr>
      <w:r w:rsidRPr="00B8637E">
        <w:rPr>
          <w:b/>
        </w:rPr>
        <w:t xml:space="preserve">Table </w:t>
      </w:r>
      <w:r w:rsidR="00455ABB" w:rsidRPr="00B8637E">
        <w:rPr>
          <w:b/>
        </w:rPr>
        <w:t>4</w:t>
      </w:r>
      <w:r w:rsidR="00BA5406" w:rsidRPr="00B8637E">
        <w:rPr>
          <w:b/>
        </w:rPr>
        <w:t xml:space="preserve">:  </w:t>
      </w:r>
      <w:r w:rsidRPr="00B8637E">
        <w:rPr>
          <w:b/>
        </w:rPr>
        <w:t>Aggregate Expected Distributed Solar Profile as a Percentage of Installed Capacity</w:t>
      </w:r>
    </w:p>
    <w:tbl>
      <w:tblPr>
        <w:tblStyle w:val="TableGrid"/>
        <w:tblW w:w="0" w:type="auto"/>
        <w:tblLook w:val="04A0" w:firstRow="1" w:lastRow="0" w:firstColumn="1" w:lastColumn="0" w:noHBand="0" w:noVBand="1"/>
      </w:tblPr>
      <w:tblGrid>
        <w:gridCol w:w="9576"/>
      </w:tblGrid>
      <w:tr w:rsidR="00895160" w14:paraId="12ADC3DE" w14:textId="77777777" w:rsidTr="002C5C9D">
        <w:tc>
          <w:tcPr>
            <w:tcW w:w="9576" w:type="dxa"/>
          </w:tcPr>
          <w:p w14:paraId="0B6CF323" w14:textId="77777777" w:rsidR="00895160" w:rsidRDefault="00895160" w:rsidP="002C5C9D">
            <w:pPr>
              <w:jc w:val="center"/>
            </w:pPr>
          </w:p>
          <w:p w14:paraId="6DB82C27" w14:textId="77777777" w:rsidR="00895160" w:rsidRPr="004939B8" w:rsidRDefault="00895160" w:rsidP="002C5C9D">
            <w:pPr>
              <w:jc w:val="center"/>
              <w:rPr>
                <w:sz w:val="48"/>
                <w:szCs w:val="48"/>
              </w:rPr>
            </w:pPr>
          </w:p>
          <w:p w14:paraId="4D82B4FA" w14:textId="77777777" w:rsidR="00895160" w:rsidRPr="004939B8" w:rsidRDefault="00895160" w:rsidP="002C5C9D">
            <w:pPr>
              <w:jc w:val="center"/>
              <w:rPr>
                <w:sz w:val="48"/>
                <w:szCs w:val="48"/>
              </w:rPr>
            </w:pPr>
          </w:p>
          <w:p w14:paraId="2A65A85F" w14:textId="77777777" w:rsidR="00895160" w:rsidRPr="004939B8" w:rsidRDefault="00895160" w:rsidP="002C5C9D">
            <w:pPr>
              <w:jc w:val="center"/>
              <w:rPr>
                <w:sz w:val="48"/>
                <w:szCs w:val="48"/>
              </w:rPr>
            </w:pPr>
          </w:p>
          <w:p w14:paraId="18F91E47" w14:textId="77777777" w:rsidR="00895160" w:rsidRPr="004939B8" w:rsidRDefault="00895160" w:rsidP="002C5C9D">
            <w:pPr>
              <w:jc w:val="center"/>
              <w:rPr>
                <w:b/>
                <w:sz w:val="48"/>
                <w:szCs w:val="48"/>
              </w:rPr>
            </w:pPr>
            <w:r w:rsidRPr="004939B8">
              <w:rPr>
                <w:b/>
                <w:sz w:val="48"/>
                <w:szCs w:val="48"/>
              </w:rPr>
              <w:t>REDACTED</w:t>
            </w:r>
          </w:p>
          <w:p w14:paraId="280B5480" w14:textId="77777777" w:rsidR="00895160" w:rsidRPr="004939B8" w:rsidRDefault="00895160" w:rsidP="002C5C9D">
            <w:pPr>
              <w:jc w:val="center"/>
              <w:rPr>
                <w:sz w:val="48"/>
                <w:szCs w:val="48"/>
              </w:rPr>
            </w:pPr>
          </w:p>
          <w:p w14:paraId="2BA2D328" w14:textId="77777777" w:rsidR="00895160" w:rsidRPr="004939B8" w:rsidRDefault="00895160" w:rsidP="002C5C9D">
            <w:pPr>
              <w:jc w:val="center"/>
              <w:rPr>
                <w:sz w:val="48"/>
                <w:szCs w:val="48"/>
              </w:rPr>
            </w:pPr>
          </w:p>
          <w:p w14:paraId="208B74CF" w14:textId="77777777" w:rsidR="00895160" w:rsidRPr="004939B8" w:rsidRDefault="00895160" w:rsidP="002C5C9D">
            <w:pPr>
              <w:jc w:val="center"/>
              <w:rPr>
                <w:sz w:val="48"/>
                <w:szCs w:val="48"/>
              </w:rPr>
            </w:pPr>
          </w:p>
          <w:p w14:paraId="210CE36C" w14:textId="77777777" w:rsidR="00895160" w:rsidRPr="004939B8" w:rsidRDefault="00895160" w:rsidP="002C5C9D">
            <w:pPr>
              <w:jc w:val="center"/>
              <w:rPr>
                <w:sz w:val="48"/>
                <w:szCs w:val="48"/>
              </w:rPr>
            </w:pPr>
          </w:p>
          <w:p w14:paraId="067D5EE2" w14:textId="77777777" w:rsidR="00895160" w:rsidRDefault="00895160" w:rsidP="002C5C9D">
            <w:pPr>
              <w:jc w:val="center"/>
            </w:pPr>
          </w:p>
        </w:tc>
      </w:tr>
    </w:tbl>
    <w:p w14:paraId="4B4175F8" w14:textId="77777777" w:rsidR="00D646C0" w:rsidRDefault="00D646C0" w:rsidP="00BC678C">
      <w:pPr>
        <w:ind w:firstLine="720"/>
      </w:pPr>
    </w:p>
    <w:p w14:paraId="295799EA" w14:textId="77777777" w:rsidR="00CD63F6" w:rsidRPr="001068E1" w:rsidRDefault="00CD63F6" w:rsidP="00771B83">
      <w:pPr>
        <w:rPr>
          <w:b/>
        </w:rPr>
      </w:pPr>
      <w:r>
        <w:rPr>
          <w:b/>
        </w:rPr>
        <w:t>Avoided Energy Costs</w:t>
      </w:r>
    </w:p>
    <w:p w14:paraId="20B87249" w14:textId="1B3063DB" w:rsidR="00CD63F6" w:rsidRDefault="00FF0FEB" w:rsidP="00BC678C">
      <w:pPr>
        <w:ind w:firstLine="720"/>
      </w:pPr>
      <w:r>
        <w:t xml:space="preserve">In accord with the </w:t>
      </w:r>
      <w:r w:rsidR="0052097F">
        <w:t>Framework</w:t>
      </w:r>
      <w:r>
        <w:t xml:space="preserve">, the avoided costs used in this analysis </w:t>
      </w:r>
      <w:r w:rsidR="00BA5406">
        <w:t>are</w:t>
      </w:r>
      <w:r>
        <w:t xml:space="preserve"> the </w:t>
      </w:r>
      <w:r w:rsidR="00E93DAC">
        <w:t xml:space="preserve">official </w:t>
      </w:r>
      <w:r w:rsidR="0066575E">
        <w:t xml:space="preserve">avoided costs </w:t>
      </w:r>
      <w:r w:rsidR="00A82344">
        <w:t xml:space="preserve">for the </w:t>
      </w:r>
      <w:r w:rsidR="004D594F">
        <w:t xml:space="preserve">Southern Company </w:t>
      </w:r>
      <w:r w:rsidR="0052097F">
        <w:t>e</w:t>
      </w:r>
      <w:r w:rsidR="004D594F">
        <w:t xml:space="preserve">lectric </w:t>
      </w:r>
      <w:r w:rsidR="0052097F">
        <w:t>s</w:t>
      </w:r>
      <w:r w:rsidR="004D594F">
        <w:t>ystem</w:t>
      </w:r>
      <w:r>
        <w:t>.  For this analysis, therefore, t</w:t>
      </w:r>
      <w:r w:rsidR="00CD63F6">
        <w:t xml:space="preserve">he </w:t>
      </w:r>
      <w:r w:rsidR="00A82344">
        <w:t xml:space="preserve">B2016 </w:t>
      </w:r>
      <w:r w:rsidR="00AA2ED9">
        <w:t xml:space="preserve">Moderate </w:t>
      </w:r>
      <w:r w:rsidR="00CD63F6">
        <w:t xml:space="preserve">Gas </w:t>
      </w:r>
      <w:r w:rsidR="00772FB5">
        <w:t xml:space="preserve">$0 </w:t>
      </w:r>
      <w:r w:rsidR="00CD63F6">
        <w:t xml:space="preserve">Carbon </w:t>
      </w:r>
      <w:r>
        <w:t>(</w:t>
      </w:r>
      <w:r w:rsidR="00A82344">
        <w:t>MG0</w:t>
      </w:r>
      <w:r>
        <w:t xml:space="preserve">) </w:t>
      </w:r>
      <w:r w:rsidR="00CD63F6">
        <w:t>Avoided Co</w:t>
      </w:r>
      <w:r>
        <w:t>st scenario</w:t>
      </w:r>
      <w:r w:rsidR="00CD63F6">
        <w:t xml:space="preserve"> w</w:t>
      </w:r>
      <w:r>
        <w:t>as</w:t>
      </w:r>
      <w:r w:rsidR="00CD63F6">
        <w:t xml:space="preserve"> used </w:t>
      </w:r>
      <w:r>
        <w:t xml:space="preserve">as the basis for determining </w:t>
      </w:r>
      <w:r w:rsidR="00CD63F6">
        <w:t>the Solar-Weighted Avoided Energy Costs.</w:t>
      </w:r>
      <w:r w:rsidR="00BA5406">
        <w:t xml:space="preserve"> </w:t>
      </w:r>
      <w:r w:rsidR="00CD63F6">
        <w:t xml:space="preserve"> </w:t>
      </w:r>
      <w:r w:rsidR="00CD63F6" w:rsidRPr="00FF0FEB">
        <w:t xml:space="preserve">Table </w:t>
      </w:r>
      <w:r w:rsidR="00455ABB">
        <w:t xml:space="preserve">5 </w:t>
      </w:r>
      <w:r w:rsidR="00CD63F6">
        <w:t>below</w:t>
      </w:r>
      <w:r>
        <w:t xml:space="preserve"> </w:t>
      </w:r>
      <w:r w:rsidR="00730397">
        <w:t>depicts</w:t>
      </w:r>
      <w:r>
        <w:t xml:space="preserve"> the </w:t>
      </w:r>
      <w:r w:rsidR="00A13F4A">
        <w:t>average energy</w:t>
      </w:r>
      <w:r>
        <w:t xml:space="preserve"> costs by month for the </w:t>
      </w:r>
      <w:r w:rsidR="00A82344">
        <w:t xml:space="preserve">MG0 </w:t>
      </w:r>
      <w:r>
        <w:t>case for the year 2019.</w:t>
      </w:r>
    </w:p>
    <w:p w14:paraId="5F0530E9" w14:textId="77777777" w:rsidR="00CD63F6" w:rsidRDefault="00FF0FEB" w:rsidP="00BC678C">
      <w:pPr>
        <w:ind w:firstLine="720"/>
      </w:pPr>
      <w:r>
        <w:t xml:space="preserve">For the first </w:t>
      </w:r>
      <w:r w:rsidR="00A82344">
        <w:t xml:space="preserve">1000MW </w:t>
      </w:r>
      <w:r w:rsidR="00AA2ED9">
        <w:t xml:space="preserve">tranche </w:t>
      </w:r>
      <w:r>
        <w:t xml:space="preserve">of distributed solar considered, the avoided costs used were the normal, budgeted avoided costs based on normal conditions with known and committed renewable resources.  For subsequent </w:t>
      </w:r>
      <w:r w:rsidR="00AA2ED9">
        <w:t xml:space="preserve">tranches </w:t>
      </w:r>
      <w:r>
        <w:t xml:space="preserve">of distributed solar, new cases containing the combined impacts of the previously modeled </w:t>
      </w:r>
      <w:r w:rsidR="00AA2ED9">
        <w:t xml:space="preserve">tranches </w:t>
      </w:r>
      <w:r>
        <w:t xml:space="preserve">were created.  These new cases served as the basis for the solar-weighted avoided energy cost calculations for these subsequent </w:t>
      </w:r>
      <w:r w:rsidR="00AA2ED9">
        <w:t>tranches</w:t>
      </w:r>
      <w:r>
        <w:t>.</w:t>
      </w:r>
    </w:p>
    <w:p w14:paraId="6532450A" w14:textId="567B8AB6" w:rsidR="00B8594B" w:rsidRDefault="00B8594B">
      <w:r>
        <w:br w:type="page"/>
      </w:r>
    </w:p>
    <w:p w14:paraId="548F8E23" w14:textId="77777777" w:rsidR="00CD63F6" w:rsidRPr="00FF0FEB" w:rsidRDefault="00CD63F6" w:rsidP="00CD63F6">
      <w:pPr>
        <w:spacing w:line="240" w:lineRule="auto"/>
        <w:rPr>
          <w:b/>
        </w:rPr>
      </w:pPr>
      <w:r w:rsidRPr="00B8637E">
        <w:rPr>
          <w:b/>
        </w:rPr>
        <w:lastRenderedPageBreak/>
        <w:t xml:space="preserve">Table </w:t>
      </w:r>
      <w:r w:rsidR="00455ABB" w:rsidRPr="00B8637E">
        <w:rPr>
          <w:b/>
        </w:rPr>
        <w:t>5</w:t>
      </w:r>
      <w:r w:rsidR="00AA2ED9" w:rsidRPr="00B8637E">
        <w:rPr>
          <w:b/>
        </w:rPr>
        <w:t xml:space="preserve">: </w:t>
      </w:r>
      <w:r w:rsidRPr="00B8637E">
        <w:rPr>
          <w:b/>
        </w:rPr>
        <w:t xml:space="preserve">Representation of </w:t>
      </w:r>
      <w:r w:rsidR="00A82344" w:rsidRPr="00B8637E">
        <w:rPr>
          <w:b/>
        </w:rPr>
        <w:t xml:space="preserve">MG0 </w:t>
      </w:r>
      <w:r w:rsidRPr="00B8637E">
        <w:rPr>
          <w:b/>
        </w:rPr>
        <w:t>Avoided Costs</w:t>
      </w:r>
      <w:r w:rsidR="00A82344" w:rsidRPr="00B8637E">
        <w:rPr>
          <w:b/>
        </w:rPr>
        <w:t xml:space="preserve"> for 2019</w:t>
      </w:r>
      <w:r w:rsidRPr="00B8637E">
        <w:rPr>
          <w:b/>
        </w:rPr>
        <w:t xml:space="preserve"> ($/MWH)</w:t>
      </w:r>
    </w:p>
    <w:tbl>
      <w:tblPr>
        <w:tblStyle w:val="TableGrid"/>
        <w:tblW w:w="0" w:type="auto"/>
        <w:tblLook w:val="04A0" w:firstRow="1" w:lastRow="0" w:firstColumn="1" w:lastColumn="0" w:noHBand="0" w:noVBand="1"/>
      </w:tblPr>
      <w:tblGrid>
        <w:gridCol w:w="9576"/>
      </w:tblGrid>
      <w:tr w:rsidR="00B8637E" w14:paraId="23D539B0" w14:textId="77777777" w:rsidTr="002C5C9D">
        <w:tc>
          <w:tcPr>
            <w:tcW w:w="9576" w:type="dxa"/>
          </w:tcPr>
          <w:p w14:paraId="4C03208C" w14:textId="77777777" w:rsidR="00B8637E" w:rsidRDefault="00B8637E" w:rsidP="002C5C9D">
            <w:pPr>
              <w:jc w:val="center"/>
            </w:pPr>
          </w:p>
          <w:p w14:paraId="2F0472FA" w14:textId="77777777" w:rsidR="00B8637E" w:rsidRPr="004939B8" w:rsidRDefault="00B8637E" w:rsidP="002C5C9D">
            <w:pPr>
              <w:jc w:val="center"/>
              <w:rPr>
                <w:sz w:val="48"/>
                <w:szCs w:val="48"/>
              </w:rPr>
            </w:pPr>
          </w:p>
          <w:p w14:paraId="58BBABAC" w14:textId="77777777" w:rsidR="00B8637E" w:rsidRPr="004939B8" w:rsidRDefault="00B8637E" w:rsidP="002C5C9D">
            <w:pPr>
              <w:jc w:val="center"/>
              <w:rPr>
                <w:sz w:val="48"/>
                <w:szCs w:val="48"/>
              </w:rPr>
            </w:pPr>
          </w:p>
          <w:p w14:paraId="32B5D0EF" w14:textId="77777777" w:rsidR="00B8637E" w:rsidRPr="004939B8" w:rsidRDefault="00B8637E" w:rsidP="002C5C9D">
            <w:pPr>
              <w:jc w:val="center"/>
              <w:rPr>
                <w:sz w:val="48"/>
                <w:szCs w:val="48"/>
              </w:rPr>
            </w:pPr>
          </w:p>
          <w:p w14:paraId="041D2670" w14:textId="77777777" w:rsidR="00B8637E" w:rsidRPr="004939B8" w:rsidRDefault="00B8637E" w:rsidP="002C5C9D">
            <w:pPr>
              <w:jc w:val="center"/>
              <w:rPr>
                <w:b/>
                <w:sz w:val="48"/>
                <w:szCs w:val="48"/>
              </w:rPr>
            </w:pPr>
            <w:r w:rsidRPr="004939B8">
              <w:rPr>
                <w:b/>
                <w:sz w:val="48"/>
                <w:szCs w:val="48"/>
              </w:rPr>
              <w:t>REDACTED</w:t>
            </w:r>
          </w:p>
          <w:p w14:paraId="6D584058" w14:textId="77777777" w:rsidR="00B8637E" w:rsidRPr="004939B8" w:rsidRDefault="00B8637E" w:rsidP="002C5C9D">
            <w:pPr>
              <w:jc w:val="center"/>
              <w:rPr>
                <w:sz w:val="48"/>
                <w:szCs w:val="48"/>
              </w:rPr>
            </w:pPr>
          </w:p>
          <w:p w14:paraId="6DA96FDE" w14:textId="77777777" w:rsidR="00B8637E" w:rsidRPr="004939B8" w:rsidRDefault="00B8637E" w:rsidP="002C5C9D">
            <w:pPr>
              <w:jc w:val="center"/>
              <w:rPr>
                <w:sz w:val="48"/>
                <w:szCs w:val="48"/>
              </w:rPr>
            </w:pPr>
          </w:p>
          <w:p w14:paraId="18359A40" w14:textId="77777777" w:rsidR="00B8637E" w:rsidRPr="004939B8" w:rsidRDefault="00B8637E" w:rsidP="002C5C9D">
            <w:pPr>
              <w:jc w:val="center"/>
              <w:rPr>
                <w:sz w:val="48"/>
                <w:szCs w:val="48"/>
              </w:rPr>
            </w:pPr>
          </w:p>
          <w:p w14:paraId="5B6B53CD" w14:textId="77777777" w:rsidR="00B8637E" w:rsidRPr="004939B8" w:rsidRDefault="00B8637E" w:rsidP="002C5C9D">
            <w:pPr>
              <w:jc w:val="center"/>
              <w:rPr>
                <w:sz w:val="48"/>
                <w:szCs w:val="48"/>
              </w:rPr>
            </w:pPr>
          </w:p>
          <w:p w14:paraId="3F7AD569" w14:textId="77777777" w:rsidR="00B8637E" w:rsidRPr="004939B8" w:rsidRDefault="00B8637E" w:rsidP="002C5C9D">
            <w:pPr>
              <w:jc w:val="center"/>
              <w:rPr>
                <w:sz w:val="48"/>
                <w:szCs w:val="48"/>
              </w:rPr>
            </w:pPr>
          </w:p>
          <w:p w14:paraId="6659F33C" w14:textId="77777777" w:rsidR="00B8637E" w:rsidRDefault="00B8637E" w:rsidP="002C5C9D">
            <w:pPr>
              <w:jc w:val="center"/>
            </w:pPr>
          </w:p>
        </w:tc>
      </w:tr>
    </w:tbl>
    <w:p w14:paraId="743E5ED5" w14:textId="77777777" w:rsidR="00CD63F6" w:rsidRDefault="00CD63F6" w:rsidP="00FF0FEB">
      <w:pPr>
        <w:spacing w:line="240" w:lineRule="auto"/>
      </w:pPr>
    </w:p>
    <w:p w14:paraId="2DB4CA7E" w14:textId="77777777" w:rsidR="00A26244" w:rsidRDefault="00A26244" w:rsidP="008F0DAA">
      <w:pPr>
        <w:spacing w:line="240" w:lineRule="auto"/>
        <w:ind w:firstLine="720"/>
      </w:pPr>
      <w:r>
        <w:t>The avoided energy costs were then applied to the distributed solar generation profile by hour for each year to calculate the expected avoided energy benefit.  Table 6 shows the avoided energy costs for each solar generation tranche.</w:t>
      </w:r>
    </w:p>
    <w:p w14:paraId="0BC90796" w14:textId="77777777" w:rsidR="00A26244" w:rsidRDefault="00A26244" w:rsidP="008F0DAA">
      <w:pPr>
        <w:spacing w:line="240" w:lineRule="auto"/>
        <w:ind w:firstLine="720"/>
      </w:pPr>
    </w:p>
    <w:p w14:paraId="3A34C7BB" w14:textId="77777777" w:rsidR="00A26244" w:rsidRPr="00B24877" w:rsidRDefault="00A26244" w:rsidP="00A26244">
      <w:pPr>
        <w:spacing w:line="240" w:lineRule="auto"/>
        <w:rPr>
          <w:b/>
        </w:rPr>
      </w:pPr>
      <w:r w:rsidRPr="00B24877">
        <w:rPr>
          <w:b/>
        </w:rPr>
        <w:t xml:space="preserve">Table </w:t>
      </w:r>
      <w:r>
        <w:rPr>
          <w:b/>
        </w:rPr>
        <w:t>6:</w:t>
      </w:r>
      <w:r w:rsidRPr="00B24877">
        <w:rPr>
          <w:b/>
        </w:rPr>
        <w:t xml:space="preserve">  </w:t>
      </w:r>
      <w:r>
        <w:rPr>
          <w:b/>
        </w:rPr>
        <w:t>Avoided</w:t>
      </w:r>
      <w:r w:rsidRPr="00B24877">
        <w:rPr>
          <w:b/>
        </w:rPr>
        <w:t xml:space="preserve"> Energy </w:t>
      </w:r>
      <w:r>
        <w:rPr>
          <w:b/>
        </w:rPr>
        <w:t>Costs (M$)</w:t>
      </w:r>
    </w:p>
    <w:tbl>
      <w:tblPr>
        <w:tblStyle w:val="LightList-Accent1"/>
        <w:tblW w:w="0" w:type="auto"/>
        <w:tblLook w:val="04A0" w:firstRow="1" w:lastRow="0" w:firstColumn="1" w:lastColumn="0" w:noHBand="0" w:noVBand="1"/>
      </w:tblPr>
      <w:tblGrid>
        <w:gridCol w:w="2697"/>
        <w:gridCol w:w="918"/>
        <w:gridCol w:w="1050"/>
        <w:gridCol w:w="806"/>
        <w:gridCol w:w="806"/>
        <w:gridCol w:w="895"/>
        <w:gridCol w:w="806"/>
        <w:gridCol w:w="806"/>
        <w:gridCol w:w="792"/>
      </w:tblGrid>
      <w:tr w:rsidR="001808FB" w:rsidRPr="00B24877" w14:paraId="0D9A0EC5" w14:textId="77777777" w:rsidTr="001808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7" w:type="dxa"/>
            <w:tcBorders>
              <w:bottom w:val="single" w:sz="4" w:space="0" w:color="auto"/>
            </w:tcBorders>
            <w:noWrap/>
            <w:hideMark/>
          </w:tcPr>
          <w:p w14:paraId="15DF1A4B" w14:textId="77777777" w:rsidR="00A26244" w:rsidRPr="00B24877" w:rsidRDefault="00A26244" w:rsidP="00A26244">
            <w:pPr>
              <w:rPr>
                <w:sz w:val="18"/>
              </w:rPr>
            </w:pPr>
          </w:p>
        </w:tc>
        <w:tc>
          <w:tcPr>
            <w:tcW w:w="918" w:type="dxa"/>
            <w:tcBorders>
              <w:bottom w:val="single" w:sz="4" w:space="0" w:color="auto"/>
            </w:tcBorders>
            <w:noWrap/>
            <w:hideMark/>
          </w:tcPr>
          <w:p w14:paraId="2B005C0E" w14:textId="77777777" w:rsidR="00A26244" w:rsidRPr="00643279"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bCs w:val="0"/>
                <w:color w:val="FFFFFF" w:themeColor="light1"/>
                <w:kern w:val="24"/>
                <w:sz w:val="20"/>
                <w:szCs w:val="20"/>
              </w:rPr>
              <w:t>1000</w:t>
            </w:r>
          </w:p>
        </w:tc>
        <w:tc>
          <w:tcPr>
            <w:tcW w:w="1050" w:type="dxa"/>
            <w:tcBorders>
              <w:bottom w:val="single" w:sz="4" w:space="0" w:color="auto"/>
            </w:tcBorders>
            <w:noWrap/>
            <w:hideMark/>
          </w:tcPr>
          <w:p w14:paraId="47D85064"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2000</w:t>
            </w:r>
          </w:p>
        </w:tc>
        <w:tc>
          <w:tcPr>
            <w:tcW w:w="806" w:type="dxa"/>
            <w:tcBorders>
              <w:bottom w:val="single" w:sz="4" w:space="0" w:color="auto"/>
            </w:tcBorders>
            <w:noWrap/>
            <w:hideMark/>
          </w:tcPr>
          <w:p w14:paraId="5090D4DC"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3000</w:t>
            </w:r>
          </w:p>
        </w:tc>
        <w:tc>
          <w:tcPr>
            <w:tcW w:w="806" w:type="dxa"/>
            <w:tcBorders>
              <w:bottom w:val="single" w:sz="4" w:space="0" w:color="auto"/>
            </w:tcBorders>
            <w:noWrap/>
            <w:hideMark/>
          </w:tcPr>
          <w:p w14:paraId="5F42CF2A"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4000</w:t>
            </w:r>
          </w:p>
        </w:tc>
        <w:tc>
          <w:tcPr>
            <w:tcW w:w="895" w:type="dxa"/>
            <w:tcBorders>
              <w:bottom w:val="single" w:sz="4" w:space="0" w:color="auto"/>
            </w:tcBorders>
            <w:noWrap/>
            <w:hideMark/>
          </w:tcPr>
          <w:p w14:paraId="211276E5"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5000</w:t>
            </w:r>
          </w:p>
        </w:tc>
        <w:tc>
          <w:tcPr>
            <w:tcW w:w="806" w:type="dxa"/>
            <w:tcBorders>
              <w:bottom w:val="single" w:sz="4" w:space="0" w:color="auto"/>
            </w:tcBorders>
            <w:noWrap/>
            <w:hideMark/>
          </w:tcPr>
          <w:p w14:paraId="5C67F399"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6000</w:t>
            </w:r>
          </w:p>
        </w:tc>
        <w:tc>
          <w:tcPr>
            <w:tcW w:w="806" w:type="dxa"/>
            <w:tcBorders>
              <w:bottom w:val="single" w:sz="4" w:space="0" w:color="auto"/>
            </w:tcBorders>
            <w:noWrap/>
            <w:hideMark/>
          </w:tcPr>
          <w:p w14:paraId="1AF92E91"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7000</w:t>
            </w:r>
          </w:p>
        </w:tc>
        <w:tc>
          <w:tcPr>
            <w:tcW w:w="792" w:type="dxa"/>
            <w:tcBorders>
              <w:bottom w:val="single" w:sz="4" w:space="0" w:color="auto"/>
            </w:tcBorders>
            <w:noWrap/>
            <w:hideMark/>
          </w:tcPr>
          <w:p w14:paraId="647C3F6C"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8000</w:t>
            </w:r>
          </w:p>
        </w:tc>
      </w:tr>
      <w:tr w:rsidR="001808FB" w:rsidRPr="00B24877" w14:paraId="38A1F8D8" w14:textId="77777777" w:rsidTr="001808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7" w:type="dxa"/>
            <w:tcBorders>
              <w:top w:val="single" w:sz="4" w:space="0" w:color="auto"/>
              <w:left w:val="single" w:sz="4" w:space="0" w:color="auto"/>
              <w:bottom w:val="single" w:sz="4" w:space="0" w:color="auto"/>
              <w:right w:val="single" w:sz="4" w:space="0" w:color="auto"/>
            </w:tcBorders>
            <w:noWrap/>
            <w:hideMark/>
          </w:tcPr>
          <w:p w14:paraId="6A354AB2" w14:textId="5A183649" w:rsidR="00E02BB5" w:rsidRPr="0074393C" w:rsidRDefault="0074393C" w:rsidP="0074393C">
            <w:pPr>
              <w:rPr>
                <w:sz w:val="20"/>
                <w:szCs w:val="20"/>
              </w:rPr>
            </w:pPr>
            <w:r w:rsidRPr="0074393C">
              <w:rPr>
                <w:sz w:val="20"/>
                <w:szCs w:val="20"/>
              </w:rPr>
              <w:t>Incr</w:t>
            </w:r>
            <w:r>
              <w:rPr>
                <w:sz w:val="20"/>
                <w:szCs w:val="20"/>
              </w:rPr>
              <w:t>emental</w:t>
            </w:r>
            <w:r w:rsidRPr="0074393C">
              <w:rPr>
                <w:sz w:val="20"/>
                <w:szCs w:val="20"/>
              </w:rPr>
              <w:t xml:space="preserve"> </w:t>
            </w:r>
            <w:r w:rsidR="00E02BB5" w:rsidRPr="0074393C">
              <w:rPr>
                <w:sz w:val="20"/>
                <w:szCs w:val="20"/>
              </w:rPr>
              <w:t>PV (2015 M$)</w:t>
            </w:r>
          </w:p>
        </w:tc>
        <w:tc>
          <w:tcPr>
            <w:tcW w:w="918" w:type="dxa"/>
            <w:tcBorders>
              <w:top w:val="single" w:sz="4" w:space="0" w:color="auto"/>
              <w:left w:val="single" w:sz="4" w:space="0" w:color="auto"/>
              <w:bottom w:val="single" w:sz="4" w:space="0" w:color="auto"/>
              <w:right w:val="single" w:sz="4" w:space="0" w:color="auto"/>
            </w:tcBorders>
            <w:noWrap/>
            <w:vAlign w:val="center"/>
            <w:hideMark/>
          </w:tcPr>
          <w:p w14:paraId="197F722C" w14:textId="3FA381B2"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1050" w:type="dxa"/>
            <w:tcBorders>
              <w:top w:val="single" w:sz="4" w:space="0" w:color="auto"/>
              <w:left w:val="single" w:sz="4" w:space="0" w:color="auto"/>
              <w:bottom w:val="single" w:sz="4" w:space="0" w:color="auto"/>
              <w:right w:val="single" w:sz="4" w:space="0" w:color="auto"/>
            </w:tcBorders>
            <w:noWrap/>
            <w:vAlign w:val="center"/>
            <w:hideMark/>
          </w:tcPr>
          <w:p w14:paraId="494BBDDA" w14:textId="7EB36E24"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806" w:type="dxa"/>
            <w:tcBorders>
              <w:top w:val="single" w:sz="4" w:space="0" w:color="auto"/>
              <w:left w:val="single" w:sz="4" w:space="0" w:color="auto"/>
              <w:bottom w:val="single" w:sz="4" w:space="0" w:color="auto"/>
              <w:right w:val="single" w:sz="4" w:space="0" w:color="auto"/>
            </w:tcBorders>
            <w:noWrap/>
            <w:vAlign w:val="center"/>
            <w:hideMark/>
          </w:tcPr>
          <w:p w14:paraId="79BF330D" w14:textId="44954B2C"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806" w:type="dxa"/>
            <w:tcBorders>
              <w:top w:val="single" w:sz="4" w:space="0" w:color="auto"/>
              <w:left w:val="single" w:sz="4" w:space="0" w:color="auto"/>
              <w:bottom w:val="single" w:sz="4" w:space="0" w:color="auto"/>
              <w:right w:val="single" w:sz="4" w:space="0" w:color="auto"/>
            </w:tcBorders>
            <w:noWrap/>
            <w:vAlign w:val="center"/>
            <w:hideMark/>
          </w:tcPr>
          <w:p w14:paraId="37167847" w14:textId="2E71A6A2"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895" w:type="dxa"/>
            <w:tcBorders>
              <w:top w:val="single" w:sz="4" w:space="0" w:color="auto"/>
              <w:left w:val="single" w:sz="4" w:space="0" w:color="auto"/>
              <w:bottom w:val="single" w:sz="4" w:space="0" w:color="auto"/>
              <w:right w:val="single" w:sz="4" w:space="0" w:color="auto"/>
            </w:tcBorders>
            <w:noWrap/>
            <w:vAlign w:val="center"/>
            <w:hideMark/>
          </w:tcPr>
          <w:p w14:paraId="74110DB0" w14:textId="591271E9"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806" w:type="dxa"/>
            <w:tcBorders>
              <w:top w:val="single" w:sz="4" w:space="0" w:color="auto"/>
              <w:left w:val="single" w:sz="4" w:space="0" w:color="auto"/>
              <w:bottom w:val="single" w:sz="4" w:space="0" w:color="auto"/>
              <w:right w:val="single" w:sz="4" w:space="0" w:color="auto"/>
            </w:tcBorders>
            <w:noWrap/>
            <w:vAlign w:val="center"/>
            <w:hideMark/>
          </w:tcPr>
          <w:p w14:paraId="4D47073B" w14:textId="33A8E86A"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806" w:type="dxa"/>
            <w:tcBorders>
              <w:top w:val="single" w:sz="4" w:space="0" w:color="auto"/>
              <w:left w:val="single" w:sz="4" w:space="0" w:color="auto"/>
              <w:bottom w:val="single" w:sz="4" w:space="0" w:color="auto"/>
              <w:right w:val="single" w:sz="4" w:space="0" w:color="auto"/>
            </w:tcBorders>
            <w:noWrap/>
            <w:vAlign w:val="center"/>
            <w:hideMark/>
          </w:tcPr>
          <w:p w14:paraId="38ED4AA9" w14:textId="71E8EC24"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02560246" w14:textId="0FB825C8" w:rsidR="00E02BB5"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E5668">
              <w:rPr>
                <w:b/>
                <w:sz w:val="13"/>
                <w:szCs w:val="13"/>
              </w:rPr>
              <w:t>REDACTED</w:t>
            </w:r>
          </w:p>
        </w:tc>
      </w:tr>
    </w:tbl>
    <w:p w14:paraId="38D43FE7" w14:textId="77777777" w:rsidR="00A26244" w:rsidRDefault="00A26244" w:rsidP="00A26244">
      <w:pPr>
        <w:spacing w:line="240" w:lineRule="auto"/>
      </w:pPr>
      <w:r>
        <w:t>Positive values represent benefits in the cost benefit determination.</w:t>
      </w:r>
    </w:p>
    <w:p w14:paraId="41A44BB2" w14:textId="77777777" w:rsidR="00A26244" w:rsidRDefault="00A26244" w:rsidP="00E93DAC">
      <w:pPr>
        <w:spacing w:line="240" w:lineRule="auto"/>
      </w:pPr>
    </w:p>
    <w:p w14:paraId="56F8D024" w14:textId="36C24AA1" w:rsidR="008F0DAA" w:rsidRDefault="008F0DAA" w:rsidP="008F0DAA">
      <w:pPr>
        <w:spacing w:line="240" w:lineRule="auto"/>
        <w:ind w:firstLine="720"/>
      </w:pPr>
      <w:r>
        <w:t xml:space="preserve">The avoided energy cost for each solar </w:t>
      </w:r>
      <w:r w:rsidR="00AA2ED9">
        <w:t xml:space="preserve">tranche </w:t>
      </w:r>
      <w:r>
        <w:t xml:space="preserve">was then levelized on a 30-year basis </w:t>
      </w:r>
      <w:r w:rsidR="00B24877">
        <w:t xml:space="preserve">using </w:t>
      </w:r>
      <w:proofErr w:type="gramStart"/>
      <w:r w:rsidR="00B24877">
        <w:t>an</w:t>
      </w:r>
      <w:proofErr w:type="gramEnd"/>
      <w:r w:rsidR="00B24877">
        <w:t xml:space="preserve"> </w:t>
      </w:r>
      <w:r w:rsidR="005267D4">
        <w:rPr>
          <w:b/>
        </w:rPr>
        <w:t>REDACTED</w:t>
      </w:r>
      <w:r w:rsidR="005267D4" w:rsidRPr="005267D4" w:rsidDel="005267D4">
        <w:t xml:space="preserve"> </w:t>
      </w:r>
      <w:r w:rsidR="00B24877">
        <w:t xml:space="preserve">Weighted Average Cost of Capital (WACC) </w:t>
      </w:r>
      <w:r>
        <w:t xml:space="preserve">resulting in the </w:t>
      </w:r>
      <w:r w:rsidR="00A26244">
        <w:t xml:space="preserve">solar-weighted </w:t>
      </w:r>
      <w:r>
        <w:t xml:space="preserve">avoided energy costs in Table </w:t>
      </w:r>
      <w:r w:rsidR="00A26244">
        <w:t xml:space="preserve">7 </w:t>
      </w:r>
      <w:r>
        <w:t>below.</w:t>
      </w:r>
      <w:r w:rsidR="002C6298">
        <w:rPr>
          <w:rStyle w:val="FootnoteReference"/>
        </w:rPr>
        <w:footnoteReference w:id="6"/>
      </w:r>
    </w:p>
    <w:p w14:paraId="544598A2" w14:textId="025248B2" w:rsidR="00B8594B" w:rsidRDefault="00B8594B">
      <w:pPr>
        <w:rPr>
          <w:b/>
        </w:rPr>
      </w:pPr>
      <w:r>
        <w:rPr>
          <w:b/>
        </w:rPr>
        <w:br w:type="page"/>
      </w:r>
    </w:p>
    <w:p w14:paraId="0CFD5BEA" w14:textId="77777777" w:rsidR="008F0DAA" w:rsidRPr="00B24877" w:rsidRDefault="008F0DAA" w:rsidP="00FF0FEB">
      <w:pPr>
        <w:spacing w:line="240" w:lineRule="auto"/>
        <w:rPr>
          <w:b/>
        </w:rPr>
      </w:pPr>
      <w:r w:rsidRPr="00B24877">
        <w:rPr>
          <w:b/>
        </w:rPr>
        <w:lastRenderedPageBreak/>
        <w:t xml:space="preserve">Table </w:t>
      </w:r>
      <w:r w:rsidR="00A26244">
        <w:rPr>
          <w:b/>
        </w:rPr>
        <w:t>7</w:t>
      </w:r>
      <w:r w:rsidR="00AA2ED9">
        <w:rPr>
          <w:b/>
        </w:rPr>
        <w:t>:</w:t>
      </w:r>
      <w:r w:rsidRPr="00B24877">
        <w:rPr>
          <w:b/>
        </w:rPr>
        <w:t xml:space="preserve">  </w:t>
      </w:r>
      <w:r w:rsidR="001A7FA8">
        <w:rPr>
          <w:b/>
        </w:rPr>
        <w:t>Lev</w:t>
      </w:r>
      <w:r w:rsidR="00747C2F">
        <w:rPr>
          <w:b/>
        </w:rPr>
        <w:t>e</w:t>
      </w:r>
      <w:r w:rsidR="001A7FA8">
        <w:rPr>
          <w:b/>
        </w:rPr>
        <w:t xml:space="preserve">lized </w:t>
      </w:r>
      <w:r w:rsidR="00A26244">
        <w:rPr>
          <w:b/>
        </w:rPr>
        <w:t xml:space="preserve">Solar-Weighted </w:t>
      </w:r>
      <w:r w:rsidR="001A7FA8">
        <w:rPr>
          <w:b/>
        </w:rPr>
        <w:t>Avoided</w:t>
      </w:r>
      <w:r w:rsidRPr="00B24877">
        <w:rPr>
          <w:b/>
        </w:rPr>
        <w:t xml:space="preserve"> Energy Costs</w:t>
      </w:r>
      <w:r w:rsidR="001A7FA8">
        <w:rPr>
          <w:b/>
        </w:rPr>
        <w:t xml:space="preserve"> ($/MWH)</w:t>
      </w:r>
    </w:p>
    <w:tbl>
      <w:tblPr>
        <w:tblStyle w:val="LightList-Accent1"/>
        <w:tblW w:w="0" w:type="auto"/>
        <w:tblLook w:val="04A0" w:firstRow="1" w:lastRow="0" w:firstColumn="1" w:lastColumn="0" w:noHBand="0" w:noVBand="1"/>
      </w:tblPr>
      <w:tblGrid>
        <w:gridCol w:w="2159"/>
        <w:gridCol w:w="928"/>
        <w:gridCol w:w="927"/>
        <w:gridCol w:w="927"/>
        <w:gridCol w:w="927"/>
        <w:gridCol w:w="927"/>
        <w:gridCol w:w="927"/>
        <w:gridCol w:w="927"/>
        <w:gridCol w:w="927"/>
      </w:tblGrid>
      <w:tr w:rsidR="00A82344" w:rsidRPr="00B24877" w14:paraId="7174A1B2" w14:textId="77777777" w:rsidTr="00E16F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9" w:type="dxa"/>
            <w:tcBorders>
              <w:bottom w:val="single" w:sz="4" w:space="0" w:color="auto"/>
            </w:tcBorders>
            <w:noWrap/>
            <w:hideMark/>
          </w:tcPr>
          <w:p w14:paraId="6EBBEA69" w14:textId="77777777" w:rsidR="00A82344" w:rsidRPr="00B24877" w:rsidRDefault="00A82344" w:rsidP="00B24877">
            <w:pPr>
              <w:rPr>
                <w:sz w:val="18"/>
              </w:rPr>
            </w:pPr>
          </w:p>
        </w:tc>
        <w:tc>
          <w:tcPr>
            <w:tcW w:w="928" w:type="dxa"/>
            <w:tcBorders>
              <w:bottom w:val="single" w:sz="4" w:space="0" w:color="auto"/>
            </w:tcBorders>
            <w:noWrap/>
            <w:hideMark/>
          </w:tcPr>
          <w:p w14:paraId="3A1CA625" w14:textId="77777777" w:rsidR="00A82344" w:rsidRPr="00643279"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bCs w:val="0"/>
                <w:color w:val="FFFFFF" w:themeColor="light1"/>
                <w:kern w:val="24"/>
                <w:sz w:val="20"/>
                <w:szCs w:val="20"/>
              </w:rPr>
              <w:t>1000</w:t>
            </w:r>
          </w:p>
        </w:tc>
        <w:tc>
          <w:tcPr>
            <w:tcW w:w="927" w:type="dxa"/>
            <w:tcBorders>
              <w:bottom w:val="single" w:sz="4" w:space="0" w:color="auto"/>
            </w:tcBorders>
            <w:noWrap/>
            <w:hideMark/>
          </w:tcPr>
          <w:p w14:paraId="781EB7C6"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2000</w:t>
            </w:r>
          </w:p>
        </w:tc>
        <w:tc>
          <w:tcPr>
            <w:tcW w:w="927" w:type="dxa"/>
            <w:tcBorders>
              <w:bottom w:val="single" w:sz="4" w:space="0" w:color="auto"/>
            </w:tcBorders>
            <w:noWrap/>
            <w:hideMark/>
          </w:tcPr>
          <w:p w14:paraId="4D7D1B11"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3000</w:t>
            </w:r>
          </w:p>
        </w:tc>
        <w:tc>
          <w:tcPr>
            <w:tcW w:w="927" w:type="dxa"/>
            <w:tcBorders>
              <w:bottom w:val="single" w:sz="4" w:space="0" w:color="auto"/>
            </w:tcBorders>
            <w:noWrap/>
            <w:hideMark/>
          </w:tcPr>
          <w:p w14:paraId="538449D8"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4000</w:t>
            </w:r>
          </w:p>
        </w:tc>
        <w:tc>
          <w:tcPr>
            <w:tcW w:w="927" w:type="dxa"/>
            <w:tcBorders>
              <w:bottom w:val="single" w:sz="4" w:space="0" w:color="auto"/>
            </w:tcBorders>
            <w:noWrap/>
            <w:hideMark/>
          </w:tcPr>
          <w:p w14:paraId="1511C82D"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5000</w:t>
            </w:r>
          </w:p>
        </w:tc>
        <w:tc>
          <w:tcPr>
            <w:tcW w:w="927" w:type="dxa"/>
            <w:tcBorders>
              <w:bottom w:val="single" w:sz="4" w:space="0" w:color="auto"/>
            </w:tcBorders>
            <w:noWrap/>
            <w:hideMark/>
          </w:tcPr>
          <w:p w14:paraId="66391E9E"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6000</w:t>
            </w:r>
          </w:p>
        </w:tc>
        <w:tc>
          <w:tcPr>
            <w:tcW w:w="927" w:type="dxa"/>
            <w:tcBorders>
              <w:bottom w:val="single" w:sz="4" w:space="0" w:color="auto"/>
            </w:tcBorders>
            <w:noWrap/>
            <w:hideMark/>
          </w:tcPr>
          <w:p w14:paraId="38587D0C"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7000</w:t>
            </w:r>
          </w:p>
        </w:tc>
        <w:tc>
          <w:tcPr>
            <w:tcW w:w="927" w:type="dxa"/>
            <w:tcBorders>
              <w:bottom w:val="single" w:sz="4" w:space="0" w:color="auto"/>
            </w:tcBorders>
            <w:noWrap/>
            <w:hideMark/>
          </w:tcPr>
          <w:p w14:paraId="35C2138C" w14:textId="77777777" w:rsidR="00A82344" w:rsidRPr="005C25CB" w:rsidRDefault="00A82344"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8000</w:t>
            </w:r>
          </w:p>
        </w:tc>
      </w:tr>
      <w:tr w:rsidR="001808FB" w:rsidRPr="00B24877" w14:paraId="10BA70ED" w14:textId="77777777" w:rsidTr="001808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9" w:type="dxa"/>
            <w:tcBorders>
              <w:top w:val="single" w:sz="4" w:space="0" w:color="auto"/>
              <w:left w:val="single" w:sz="4" w:space="0" w:color="auto"/>
              <w:bottom w:val="single" w:sz="4" w:space="0" w:color="auto"/>
              <w:right w:val="single" w:sz="4" w:space="0" w:color="auto"/>
            </w:tcBorders>
            <w:noWrap/>
            <w:hideMark/>
          </w:tcPr>
          <w:p w14:paraId="226C2094" w14:textId="77777777" w:rsidR="001808FB" w:rsidRPr="0074393C" w:rsidRDefault="001808FB" w:rsidP="00B24877">
            <w:pPr>
              <w:rPr>
                <w:sz w:val="20"/>
                <w:szCs w:val="20"/>
              </w:rPr>
            </w:pPr>
            <w:r w:rsidRPr="0074393C">
              <w:rPr>
                <w:sz w:val="20"/>
                <w:szCs w:val="20"/>
              </w:rPr>
              <w:t>Avoided Energy Costs</w:t>
            </w:r>
          </w:p>
        </w:tc>
        <w:tc>
          <w:tcPr>
            <w:tcW w:w="928" w:type="dxa"/>
            <w:tcBorders>
              <w:top w:val="single" w:sz="4" w:space="0" w:color="auto"/>
              <w:left w:val="single" w:sz="4" w:space="0" w:color="auto"/>
              <w:bottom w:val="single" w:sz="4" w:space="0" w:color="auto"/>
              <w:right w:val="single" w:sz="4" w:space="0" w:color="auto"/>
            </w:tcBorders>
            <w:noWrap/>
            <w:vAlign w:val="center"/>
            <w:hideMark/>
          </w:tcPr>
          <w:p w14:paraId="292A8B6F" w14:textId="5F7AF64B"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6033E79B" w14:textId="53ADAD43"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2490DAF" w14:textId="48DCBB61"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079ECD64" w14:textId="570D627C"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723A2E7F" w14:textId="37881E9E"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3D16AEAE" w14:textId="7C0B58A1"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2A381C4F" w14:textId="5A541265"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5A2C709" w14:textId="66529AE9" w:rsidR="001808FB" w:rsidRPr="0074393C" w:rsidRDefault="001808FB" w:rsidP="001808FB">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31ED7">
              <w:rPr>
                <w:b/>
                <w:sz w:val="13"/>
                <w:szCs w:val="13"/>
              </w:rPr>
              <w:t>REDACTED</w:t>
            </w:r>
          </w:p>
        </w:tc>
      </w:tr>
    </w:tbl>
    <w:p w14:paraId="5B8AE09B" w14:textId="77777777" w:rsidR="00B24877" w:rsidRDefault="000B2A34" w:rsidP="00FF0FEB">
      <w:pPr>
        <w:spacing w:line="240" w:lineRule="auto"/>
      </w:pPr>
      <w:r>
        <w:t>Positive values represent benefit</w:t>
      </w:r>
      <w:r w:rsidR="00C25A2F">
        <w:t>s</w:t>
      </w:r>
      <w:r>
        <w:t xml:space="preserve"> in the cost benefit determination.</w:t>
      </w:r>
    </w:p>
    <w:p w14:paraId="54AF565B" w14:textId="77777777" w:rsidR="00B8594B" w:rsidRDefault="00B8594B" w:rsidP="00FF0FEB">
      <w:pPr>
        <w:spacing w:line="240" w:lineRule="auto"/>
      </w:pPr>
    </w:p>
    <w:p w14:paraId="58F46E75" w14:textId="164E0877" w:rsidR="00FF0FEB" w:rsidRPr="006C7551" w:rsidRDefault="00CE72F0" w:rsidP="00FF0FEB">
      <w:pPr>
        <w:rPr>
          <w:b/>
        </w:rPr>
      </w:pPr>
      <w:r>
        <w:rPr>
          <w:b/>
        </w:rPr>
        <w:t>Deferred</w:t>
      </w:r>
      <w:r w:rsidR="00FF0FEB" w:rsidRPr="006C7551">
        <w:rPr>
          <w:b/>
        </w:rPr>
        <w:t xml:space="preserve"> </w:t>
      </w:r>
      <w:r w:rsidR="00CD3FBE">
        <w:rPr>
          <w:b/>
        </w:rPr>
        <w:t xml:space="preserve">Generation </w:t>
      </w:r>
      <w:r w:rsidR="00FF0FEB">
        <w:rPr>
          <w:b/>
        </w:rPr>
        <w:t>Capacity</w:t>
      </w:r>
      <w:r w:rsidR="00FF0FEB" w:rsidRPr="006C7551">
        <w:rPr>
          <w:b/>
        </w:rPr>
        <w:t xml:space="preserve"> Costs</w:t>
      </w:r>
    </w:p>
    <w:p w14:paraId="343E769D" w14:textId="1A817AC0" w:rsidR="00FF0FEB" w:rsidRDefault="00A13F4A" w:rsidP="00FF0FEB">
      <w:pPr>
        <w:ind w:firstLine="720"/>
      </w:pPr>
      <w:r>
        <w:t xml:space="preserve">For purpose of this analysis and to establish a relative value of deferred generation capacity at various penetrations of distributed solar, it was assumed that no capacity value would be attributed until the first year of need for Georgia Power Company.  </w:t>
      </w:r>
      <w:r w:rsidR="00FF0FEB">
        <w:t xml:space="preserve">For the first </w:t>
      </w:r>
      <w:r w:rsidR="004425CA">
        <w:t xml:space="preserve">1000MW </w:t>
      </w:r>
      <w:r w:rsidR="004C6887">
        <w:t>tranche</w:t>
      </w:r>
      <w:r w:rsidR="00FF0FEB">
        <w:t>, this would be the year of need as identified in the official expansion plan</w:t>
      </w:r>
      <w:r w:rsidR="004C6887">
        <w:t xml:space="preserve"> (which includes all previously committed solar resources at the time the </w:t>
      </w:r>
      <w:r w:rsidR="004425CA">
        <w:t xml:space="preserve">B2016 </w:t>
      </w:r>
      <w:r w:rsidR="004C6887">
        <w:t>expansion plan was created)</w:t>
      </w:r>
      <w:r w:rsidR="00FF0FEB">
        <w:t xml:space="preserve">.  In this case, the first year of need in the </w:t>
      </w:r>
      <w:r w:rsidR="004425CA">
        <w:t xml:space="preserve">B2016 </w:t>
      </w:r>
      <w:r w:rsidR="00FF0FEB">
        <w:t xml:space="preserve">expansion plan is 2024. </w:t>
      </w:r>
      <w:r w:rsidR="004D594F">
        <w:t xml:space="preserve"> </w:t>
      </w:r>
      <w:r w:rsidR="00FF0FEB">
        <w:t xml:space="preserve">For subsequent </w:t>
      </w:r>
      <w:r w:rsidR="004425CA">
        <w:t xml:space="preserve">1000MW </w:t>
      </w:r>
      <w:r w:rsidR="004C6887">
        <w:t>tranches</w:t>
      </w:r>
      <w:r w:rsidR="00FF0FEB">
        <w:t xml:space="preserve">, </w:t>
      </w:r>
      <w:r w:rsidR="00E22F8F">
        <w:t xml:space="preserve">the first year of need may </w:t>
      </w:r>
      <w:r w:rsidR="004C6887">
        <w:t xml:space="preserve">or may not </w:t>
      </w:r>
      <w:r w:rsidR="00E22F8F">
        <w:t xml:space="preserve">change, depending upon how </w:t>
      </w:r>
      <w:r w:rsidR="00FF0FEB">
        <w:t xml:space="preserve">the </w:t>
      </w:r>
      <w:r w:rsidR="00E22F8F">
        <w:t xml:space="preserve">installation of the </w:t>
      </w:r>
      <w:r w:rsidR="00FF0FEB">
        <w:t xml:space="preserve">previous </w:t>
      </w:r>
      <w:r w:rsidR="004425CA">
        <w:t>100</w:t>
      </w:r>
      <w:r w:rsidR="00E93DAC">
        <w:t>0</w:t>
      </w:r>
      <w:r w:rsidR="004425CA">
        <w:t xml:space="preserve">MW </w:t>
      </w:r>
      <w:r w:rsidR="004C6887">
        <w:t xml:space="preserve">tranches </w:t>
      </w:r>
      <w:r w:rsidR="00E22F8F">
        <w:t>impact</w:t>
      </w:r>
      <w:r w:rsidR="004C6887">
        <w:t>s</w:t>
      </w:r>
      <w:r w:rsidR="00E22F8F">
        <w:t xml:space="preserve"> </w:t>
      </w:r>
      <w:r w:rsidR="004C6887">
        <w:t>capacity needs</w:t>
      </w:r>
      <w:r w:rsidR="00FF0FEB">
        <w:t xml:space="preserve">. </w:t>
      </w:r>
      <w:r w:rsidR="000D796C">
        <w:t xml:space="preserve"> This result was determined by the Strategist cases </w:t>
      </w:r>
      <w:r w:rsidR="00771B83">
        <w:t xml:space="preserve">developed </w:t>
      </w:r>
      <w:r w:rsidR="00E22F8F">
        <w:t xml:space="preserve">as a result </w:t>
      </w:r>
      <w:r w:rsidR="000D796C">
        <w:t>of the Support Capacity calculations</w:t>
      </w:r>
      <w:r w:rsidR="00130277">
        <w:t xml:space="preserve"> (discussed below)</w:t>
      </w:r>
      <w:r w:rsidR="000D796C">
        <w:t>.</w:t>
      </w:r>
    </w:p>
    <w:p w14:paraId="5B594564" w14:textId="77777777" w:rsidR="00FF0FEB" w:rsidRDefault="00FF0FEB" w:rsidP="00FF0FEB">
      <w:pPr>
        <w:ind w:firstLine="720"/>
      </w:pPr>
      <w:r>
        <w:t xml:space="preserve">The </w:t>
      </w:r>
      <w:r w:rsidR="004C6887">
        <w:t xml:space="preserve">value </w:t>
      </w:r>
      <w:r>
        <w:t xml:space="preserve">of the </w:t>
      </w:r>
      <w:r w:rsidR="00CE72F0">
        <w:t>deferred</w:t>
      </w:r>
      <w:r w:rsidR="0073568E">
        <w:t xml:space="preserve"> capacity was based upon the </w:t>
      </w:r>
      <w:r w:rsidR="004425CA">
        <w:t xml:space="preserve">B2016 </w:t>
      </w:r>
      <w:r w:rsidR="0073568E">
        <w:t xml:space="preserve">Retail Capacity Price forecast </w:t>
      </w:r>
      <w:r w:rsidR="004425CA">
        <w:t xml:space="preserve">for Georgia Power Company </w:t>
      </w:r>
      <w:r w:rsidR="0073568E">
        <w:t xml:space="preserve">as identified below in Table </w:t>
      </w:r>
      <w:r w:rsidR="00A26244">
        <w:t>8</w:t>
      </w:r>
      <w:r w:rsidR="0073568E">
        <w:t>.  Values are only shown beginning in the year of need.</w:t>
      </w:r>
    </w:p>
    <w:p w14:paraId="3560473D" w14:textId="2B75B66D" w:rsidR="0073568E" w:rsidRPr="000D796C" w:rsidRDefault="0073568E" w:rsidP="0073568E">
      <w:pPr>
        <w:rPr>
          <w:b/>
        </w:rPr>
      </w:pPr>
      <w:r w:rsidRPr="00CD3FBE">
        <w:rPr>
          <w:b/>
        </w:rPr>
        <w:t xml:space="preserve">Table </w:t>
      </w:r>
      <w:r w:rsidR="00A26244" w:rsidRPr="00CD3FBE">
        <w:rPr>
          <w:b/>
        </w:rPr>
        <w:t>8</w:t>
      </w:r>
      <w:r w:rsidR="004C6887" w:rsidRPr="00CD3FBE">
        <w:rPr>
          <w:b/>
        </w:rPr>
        <w:t xml:space="preserve">: </w:t>
      </w:r>
      <w:r w:rsidR="00E93DAC" w:rsidRPr="00CD3FBE">
        <w:rPr>
          <w:b/>
        </w:rPr>
        <w:t xml:space="preserve">B2016 </w:t>
      </w:r>
      <w:r w:rsidRPr="00CD3FBE">
        <w:rPr>
          <w:b/>
        </w:rPr>
        <w:t>Retail Capacity Price Forecast</w:t>
      </w:r>
      <w:r w:rsidR="000D796C" w:rsidRPr="00CD3FBE">
        <w:rPr>
          <w:b/>
        </w:rPr>
        <w:t xml:space="preserve"> ($/kW-</w:t>
      </w:r>
      <w:proofErr w:type="spellStart"/>
      <w:r w:rsidR="000D796C" w:rsidRPr="00CD3FBE">
        <w:rPr>
          <w:b/>
        </w:rPr>
        <w:t>yr</w:t>
      </w:r>
      <w:proofErr w:type="spellEnd"/>
      <w:r w:rsidR="000D796C" w:rsidRPr="00CD3FBE">
        <w:rPr>
          <w:b/>
        </w:rPr>
        <w:t>)</w:t>
      </w:r>
    </w:p>
    <w:tbl>
      <w:tblPr>
        <w:tblStyle w:val="LightList-Accent1"/>
        <w:tblW w:w="3345" w:type="dxa"/>
        <w:tblLook w:val="04A0" w:firstRow="1" w:lastRow="0" w:firstColumn="1" w:lastColumn="0" w:noHBand="0" w:noVBand="1"/>
      </w:tblPr>
      <w:tblGrid>
        <w:gridCol w:w="1635"/>
        <w:gridCol w:w="1710"/>
      </w:tblGrid>
      <w:tr w:rsidR="000D796C" w:rsidRPr="000D796C" w14:paraId="3028673E" w14:textId="77777777" w:rsidTr="000D796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tcPr>
          <w:p w14:paraId="4999B79E" w14:textId="77777777" w:rsidR="000D796C" w:rsidRPr="009D0009" w:rsidRDefault="000D796C" w:rsidP="000D796C">
            <w:pPr>
              <w:jc w:val="center"/>
              <w:rPr>
                <w:rFonts w:eastAsia="Times New Roman" w:cs="Arial"/>
                <w:color w:val="000000"/>
                <w:sz w:val="20"/>
                <w:szCs w:val="20"/>
              </w:rPr>
            </w:pPr>
            <w:r w:rsidRPr="009D0009">
              <w:rPr>
                <w:rFonts w:eastAsia="Times New Roman" w:cs="Arial"/>
                <w:color w:val="000000"/>
                <w:sz w:val="20"/>
                <w:szCs w:val="20"/>
              </w:rPr>
              <w:t>Year</w:t>
            </w:r>
          </w:p>
        </w:tc>
        <w:tc>
          <w:tcPr>
            <w:tcW w:w="1710" w:type="dxa"/>
            <w:noWrap/>
          </w:tcPr>
          <w:p w14:paraId="2925F4AD" w14:textId="77777777" w:rsidR="000D796C" w:rsidRPr="009D0009" w:rsidRDefault="000D796C" w:rsidP="000D796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rFonts w:eastAsia="Times New Roman" w:cs="Arial"/>
                <w:color w:val="000000"/>
                <w:sz w:val="20"/>
                <w:szCs w:val="20"/>
              </w:rPr>
              <w:t>Price Forecast</w:t>
            </w:r>
          </w:p>
        </w:tc>
      </w:tr>
      <w:tr w:rsidR="001808FB" w:rsidRPr="000D796C" w14:paraId="71AA67B5"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90D7990"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2024</w:t>
            </w:r>
          </w:p>
        </w:tc>
        <w:tc>
          <w:tcPr>
            <w:tcW w:w="1710" w:type="dxa"/>
            <w:noWrap/>
            <w:vAlign w:val="center"/>
            <w:hideMark/>
          </w:tcPr>
          <w:p w14:paraId="34FD3A18" w14:textId="58F62B5A"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462CCC33"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3159856A"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2025</w:t>
            </w:r>
          </w:p>
        </w:tc>
        <w:tc>
          <w:tcPr>
            <w:tcW w:w="1710" w:type="dxa"/>
            <w:noWrap/>
            <w:vAlign w:val="center"/>
            <w:hideMark/>
          </w:tcPr>
          <w:p w14:paraId="525FF452" w14:textId="76E9F468"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0FE5061E"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3FA29546"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2026</w:t>
            </w:r>
          </w:p>
        </w:tc>
        <w:tc>
          <w:tcPr>
            <w:tcW w:w="1710" w:type="dxa"/>
            <w:noWrap/>
            <w:vAlign w:val="center"/>
            <w:hideMark/>
          </w:tcPr>
          <w:p w14:paraId="5B45629D" w14:textId="08523C63"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3EFC2064"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602861A5"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2027</w:t>
            </w:r>
          </w:p>
        </w:tc>
        <w:tc>
          <w:tcPr>
            <w:tcW w:w="1710" w:type="dxa"/>
            <w:noWrap/>
            <w:vAlign w:val="center"/>
            <w:hideMark/>
          </w:tcPr>
          <w:p w14:paraId="0836F25A" w14:textId="55E34627"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398E1F4A"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697370EC"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2028</w:t>
            </w:r>
          </w:p>
        </w:tc>
        <w:tc>
          <w:tcPr>
            <w:tcW w:w="1710" w:type="dxa"/>
            <w:noWrap/>
            <w:vAlign w:val="center"/>
            <w:hideMark/>
          </w:tcPr>
          <w:p w14:paraId="0CBFEA59" w14:textId="0B073C1C"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384BA35D"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C533440"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2029</w:t>
            </w:r>
          </w:p>
        </w:tc>
        <w:tc>
          <w:tcPr>
            <w:tcW w:w="1710" w:type="dxa"/>
            <w:noWrap/>
            <w:vAlign w:val="center"/>
            <w:hideMark/>
          </w:tcPr>
          <w:p w14:paraId="3F0830F9" w14:textId="2F99ADE7"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4BE8879E"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8C6F7A2"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2030</w:t>
            </w:r>
          </w:p>
        </w:tc>
        <w:tc>
          <w:tcPr>
            <w:tcW w:w="1710" w:type="dxa"/>
            <w:noWrap/>
            <w:vAlign w:val="center"/>
            <w:hideMark/>
          </w:tcPr>
          <w:p w14:paraId="1416DB52" w14:textId="35B14572"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7EDDAC5A"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32A7A665"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2031</w:t>
            </w:r>
          </w:p>
        </w:tc>
        <w:tc>
          <w:tcPr>
            <w:tcW w:w="1710" w:type="dxa"/>
            <w:noWrap/>
            <w:vAlign w:val="center"/>
            <w:hideMark/>
          </w:tcPr>
          <w:p w14:paraId="64A73D0B" w14:textId="6CC1E7AD"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47D0512E"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92A0557"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2032</w:t>
            </w:r>
          </w:p>
        </w:tc>
        <w:tc>
          <w:tcPr>
            <w:tcW w:w="1710" w:type="dxa"/>
            <w:noWrap/>
            <w:vAlign w:val="center"/>
            <w:hideMark/>
          </w:tcPr>
          <w:p w14:paraId="7C1B8BD4" w14:textId="65E1B9B4"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074483C7"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DC733A5"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2033</w:t>
            </w:r>
          </w:p>
        </w:tc>
        <w:tc>
          <w:tcPr>
            <w:tcW w:w="1710" w:type="dxa"/>
            <w:noWrap/>
            <w:vAlign w:val="center"/>
            <w:hideMark/>
          </w:tcPr>
          <w:p w14:paraId="7E1503ED" w14:textId="1F9E10C6"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12FB7654"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6A801353"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2034</w:t>
            </w:r>
          </w:p>
        </w:tc>
        <w:tc>
          <w:tcPr>
            <w:tcW w:w="1710" w:type="dxa"/>
            <w:noWrap/>
            <w:vAlign w:val="center"/>
            <w:hideMark/>
          </w:tcPr>
          <w:p w14:paraId="4E725388" w14:textId="0DF6425E"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7BA8552B"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53F739E6"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2035</w:t>
            </w:r>
          </w:p>
        </w:tc>
        <w:tc>
          <w:tcPr>
            <w:tcW w:w="1710" w:type="dxa"/>
            <w:noWrap/>
            <w:vAlign w:val="center"/>
            <w:hideMark/>
          </w:tcPr>
          <w:p w14:paraId="4E750E09" w14:textId="3B5CB9BC"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5EA9D9A9"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03D85407"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2036</w:t>
            </w:r>
          </w:p>
        </w:tc>
        <w:tc>
          <w:tcPr>
            <w:tcW w:w="1710" w:type="dxa"/>
            <w:noWrap/>
            <w:vAlign w:val="center"/>
            <w:hideMark/>
          </w:tcPr>
          <w:p w14:paraId="1D1C3855" w14:textId="6F4E33DE"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34E29C38"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35101EDB"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2037</w:t>
            </w:r>
          </w:p>
        </w:tc>
        <w:tc>
          <w:tcPr>
            <w:tcW w:w="1710" w:type="dxa"/>
            <w:noWrap/>
            <w:vAlign w:val="center"/>
            <w:hideMark/>
          </w:tcPr>
          <w:p w14:paraId="467C9811" w14:textId="2628ABEF"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0831ECE4"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748FD43A"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2038</w:t>
            </w:r>
          </w:p>
        </w:tc>
        <w:tc>
          <w:tcPr>
            <w:tcW w:w="1710" w:type="dxa"/>
            <w:noWrap/>
            <w:vAlign w:val="center"/>
            <w:hideMark/>
          </w:tcPr>
          <w:p w14:paraId="4CCDA4A3" w14:textId="0158B30A"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37C60335"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7E599AFA"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2039</w:t>
            </w:r>
          </w:p>
        </w:tc>
        <w:tc>
          <w:tcPr>
            <w:tcW w:w="1710" w:type="dxa"/>
            <w:noWrap/>
            <w:vAlign w:val="center"/>
            <w:hideMark/>
          </w:tcPr>
          <w:p w14:paraId="4E9B52D8" w14:textId="42D9377C"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6189C193"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275E0D2"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2040</w:t>
            </w:r>
          </w:p>
        </w:tc>
        <w:tc>
          <w:tcPr>
            <w:tcW w:w="1710" w:type="dxa"/>
            <w:noWrap/>
            <w:vAlign w:val="center"/>
            <w:hideMark/>
          </w:tcPr>
          <w:p w14:paraId="3F3EA697" w14:textId="22327A60"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6C0D73D0"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7CD4129E"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2041</w:t>
            </w:r>
          </w:p>
        </w:tc>
        <w:tc>
          <w:tcPr>
            <w:tcW w:w="1710" w:type="dxa"/>
            <w:noWrap/>
            <w:vAlign w:val="center"/>
            <w:hideMark/>
          </w:tcPr>
          <w:p w14:paraId="6EDB3F04" w14:textId="058D6A27"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1808FB" w:rsidRPr="000D796C" w14:paraId="03683CB8"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5B20DA0A"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2042</w:t>
            </w:r>
          </w:p>
        </w:tc>
        <w:tc>
          <w:tcPr>
            <w:tcW w:w="1710" w:type="dxa"/>
            <w:noWrap/>
            <w:vAlign w:val="center"/>
            <w:hideMark/>
          </w:tcPr>
          <w:p w14:paraId="165985A1" w14:textId="1D2E1344"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E00970">
              <w:rPr>
                <w:b/>
                <w:sz w:val="13"/>
                <w:szCs w:val="13"/>
              </w:rPr>
              <w:t>REDACTED</w:t>
            </w:r>
          </w:p>
        </w:tc>
      </w:tr>
      <w:tr w:rsidR="00044159" w:rsidRPr="000D796C" w14:paraId="36614D2C" w14:textId="77777777" w:rsidTr="00044159">
        <w:trPr>
          <w:trHeight w:val="255"/>
        </w:trPr>
        <w:tc>
          <w:tcPr>
            <w:cnfStyle w:val="001000000000" w:firstRow="0" w:lastRow="0" w:firstColumn="1" w:lastColumn="0" w:oddVBand="0" w:evenVBand="0" w:oddHBand="0" w:evenHBand="0" w:firstRowFirstColumn="0" w:firstRowLastColumn="0" w:lastRowFirstColumn="0" w:lastRowLastColumn="0"/>
            <w:tcW w:w="1635" w:type="dxa"/>
            <w:tcBorders>
              <w:top w:val="single" w:sz="8" w:space="0" w:color="4F81BD" w:themeColor="accent1"/>
              <w:bottom w:val="single" w:sz="8" w:space="0" w:color="4F81BD" w:themeColor="accent1"/>
            </w:tcBorders>
            <w:shd w:val="clear" w:color="auto" w:fill="0070C0"/>
            <w:noWrap/>
          </w:tcPr>
          <w:p w14:paraId="25D9A075" w14:textId="78315113" w:rsidR="00044159" w:rsidRPr="009D0009" w:rsidRDefault="00044159" w:rsidP="000D796C">
            <w:pPr>
              <w:jc w:val="center"/>
              <w:rPr>
                <w:rFonts w:eastAsia="Times New Roman" w:cs="Arial"/>
                <w:color w:val="000000"/>
                <w:sz w:val="20"/>
                <w:szCs w:val="20"/>
              </w:rPr>
            </w:pPr>
            <w:r w:rsidRPr="009D0009">
              <w:rPr>
                <w:rFonts w:eastAsia="Times New Roman" w:cs="Arial"/>
                <w:color w:val="000000"/>
                <w:sz w:val="20"/>
                <w:szCs w:val="20"/>
              </w:rPr>
              <w:lastRenderedPageBreak/>
              <w:t>Year</w:t>
            </w:r>
          </w:p>
        </w:tc>
        <w:tc>
          <w:tcPr>
            <w:tcW w:w="1710" w:type="dxa"/>
            <w:tcBorders>
              <w:top w:val="single" w:sz="8" w:space="0" w:color="4F81BD" w:themeColor="accent1"/>
              <w:bottom w:val="single" w:sz="8" w:space="0" w:color="4F81BD" w:themeColor="accent1"/>
            </w:tcBorders>
            <w:shd w:val="clear" w:color="auto" w:fill="0070C0"/>
            <w:noWrap/>
            <w:vAlign w:val="bottom"/>
          </w:tcPr>
          <w:p w14:paraId="28ED65A6" w14:textId="5D671A13" w:rsidR="00044159" w:rsidRPr="009D0009" w:rsidRDefault="00044159" w:rsidP="000D796C">
            <w:pPr>
              <w:jc w:val="center"/>
              <w:cnfStyle w:val="000000000000" w:firstRow="0" w:lastRow="0" w:firstColumn="0" w:lastColumn="0" w:oddVBand="0" w:evenVBand="0" w:oddHBand="0" w:evenHBand="0" w:firstRowFirstColumn="0" w:firstRowLastColumn="0" w:lastRowFirstColumn="0" w:lastRowLastColumn="0"/>
              <w:rPr>
                <w:rFonts w:cs="Arial"/>
                <w:b/>
                <w:color w:val="000000"/>
                <w:sz w:val="20"/>
                <w:szCs w:val="20"/>
                <w:highlight w:val="yellow"/>
              </w:rPr>
            </w:pPr>
            <w:r w:rsidRPr="009D0009">
              <w:rPr>
                <w:rFonts w:cs="Arial"/>
                <w:b/>
                <w:sz w:val="20"/>
                <w:szCs w:val="20"/>
              </w:rPr>
              <w:t>Price Forecast</w:t>
            </w:r>
          </w:p>
        </w:tc>
      </w:tr>
      <w:tr w:rsidR="001808FB" w:rsidRPr="000D796C" w14:paraId="652B3CB3"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50EE2068"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2043</w:t>
            </w:r>
          </w:p>
        </w:tc>
        <w:tc>
          <w:tcPr>
            <w:tcW w:w="1710" w:type="dxa"/>
            <w:noWrap/>
            <w:vAlign w:val="center"/>
            <w:hideMark/>
          </w:tcPr>
          <w:p w14:paraId="5A5E0D25" w14:textId="0961591D"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r w:rsidR="001808FB" w:rsidRPr="000D796C" w14:paraId="100C4555"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6C48D52"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2044</w:t>
            </w:r>
          </w:p>
        </w:tc>
        <w:tc>
          <w:tcPr>
            <w:tcW w:w="1710" w:type="dxa"/>
            <w:noWrap/>
            <w:vAlign w:val="center"/>
            <w:hideMark/>
          </w:tcPr>
          <w:p w14:paraId="7D6E6B03" w14:textId="1DAB84ED"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r w:rsidR="001808FB" w:rsidRPr="000D796C" w14:paraId="63F43BFC"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1CC8F4B"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2045</w:t>
            </w:r>
          </w:p>
        </w:tc>
        <w:tc>
          <w:tcPr>
            <w:tcW w:w="1710" w:type="dxa"/>
            <w:noWrap/>
            <w:vAlign w:val="center"/>
            <w:hideMark/>
          </w:tcPr>
          <w:p w14:paraId="5FA1F9AD" w14:textId="58172CEC"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r w:rsidR="001808FB" w:rsidRPr="000D796C" w14:paraId="17D526DA"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2BAE2018"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2046</w:t>
            </w:r>
          </w:p>
        </w:tc>
        <w:tc>
          <w:tcPr>
            <w:tcW w:w="1710" w:type="dxa"/>
            <w:noWrap/>
            <w:vAlign w:val="center"/>
            <w:hideMark/>
          </w:tcPr>
          <w:p w14:paraId="521201A0" w14:textId="0C2335C0"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r w:rsidR="001808FB" w:rsidRPr="000D796C" w14:paraId="0DEEDD0E" w14:textId="77777777" w:rsidTr="00041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674036DC"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2047</w:t>
            </w:r>
          </w:p>
        </w:tc>
        <w:tc>
          <w:tcPr>
            <w:tcW w:w="1710" w:type="dxa"/>
            <w:noWrap/>
            <w:vAlign w:val="center"/>
            <w:hideMark/>
          </w:tcPr>
          <w:p w14:paraId="25858292" w14:textId="3DD1BC53" w:rsidR="001808FB" w:rsidRPr="009D0009" w:rsidRDefault="001808FB" w:rsidP="001808F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r w:rsidR="001808FB" w:rsidRPr="000D796C" w14:paraId="13CF2B85" w14:textId="77777777" w:rsidTr="0004165E">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FA3168A" w14:textId="77777777" w:rsidR="001808FB" w:rsidRPr="009D0009" w:rsidRDefault="001808FB" w:rsidP="000D796C">
            <w:pPr>
              <w:jc w:val="center"/>
              <w:rPr>
                <w:rFonts w:eastAsia="Times New Roman" w:cs="Arial"/>
                <w:color w:val="000000"/>
                <w:sz w:val="20"/>
                <w:szCs w:val="20"/>
              </w:rPr>
            </w:pPr>
            <w:r w:rsidRPr="009D0009">
              <w:rPr>
                <w:rFonts w:eastAsia="Times New Roman" w:cs="Arial"/>
                <w:color w:val="000000"/>
                <w:sz w:val="20"/>
                <w:szCs w:val="20"/>
              </w:rPr>
              <w:t>2048</w:t>
            </w:r>
          </w:p>
        </w:tc>
        <w:tc>
          <w:tcPr>
            <w:tcW w:w="1710" w:type="dxa"/>
            <w:noWrap/>
            <w:vAlign w:val="center"/>
            <w:hideMark/>
          </w:tcPr>
          <w:p w14:paraId="4EA4654D" w14:textId="3232911F" w:rsidR="001808FB" w:rsidRPr="009D0009" w:rsidRDefault="001808FB" w:rsidP="001808F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highlight w:val="yellow"/>
              </w:rPr>
            </w:pPr>
            <w:r w:rsidRPr="003B4285">
              <w:rPr>
                <w:b/>
                <w:sz w:val="13"/>
                <w:szCs w:val="13"/>
              </w:rPr>
              <w:t>REDACTED</w:t>
            </w:r>
          </w:p>
        </w:tc>
      </w:tr>
    </w:tbl>
    <w:p w14:paraId="0DC53A0D" w14:textId="77777777" w:rsidR="0073568E" w:rsidRDefault="0073568E" w:rsidP="00FF0FEB">
      <w:pPr>
        <w:ind w:firstLine="720"/>
      </w:pPr>
    </w:p>
    <w:p w14:paraId="6250C90E" w14:textId="7192E27C" w:rsidR="00D24EEC" w:rsidRDefault="00FF0FEB" w:rsidP="00FF0FEB">
      <w:pPr>
        <w:ind w:firstLine="720"/>
      </w:pPr>
      <w:r>
        <w:t xml:space="preserve">For the first </w:t>
      </w:r>
      <w:r w:rsidR="004425CA">
        <w:t xml:space="preserve">1000MW </w:t>
      </w:r>
      <w:r w:rsidR="00A41762">
        <w:t>tranche</w:t>
      </w:r>
      <w:r>
        <w:t xml:space="preserve">, the capacity equivalent is determined based on the loss of load probability matrix for the existing system as modeled in the current budget.  </w:t>
      </w:r>
      <w:r w:rsidR="0051013D">
        <w:t xml:space="preserve">For the </w:t>
      </w:r>
      <w:r w:rsidR="004425CA">
        <w:t xml:space="preserve">1000MW </w:t>
      </w:r>
      <w:r w:rsidR="0051013D">
        <w:t xml:space="preserve">tranche, </w:t>
      </w:r>
      <w:r w:rsidR="00130277">
        <w:t>the capacity equivalent was</w:t>
      </w:r>
      <w:r w:rsidR="0051013D">
        <w:t xml:space="preserve"> an ICE factor of </w:t>
      </w:r>
      <w:r w:rsidR="00DF035F" w:rsidRPr="00ED255D">
        <w:t>43</w:t>
      </w:r>
      <w:r w:rsidR="0051013D">
        <w:t>%</w:t>
      </w:r>
      <w:r w:rsidR="004425CA">
        <w:t xml:space="preserve">, declining with degradation to </w:t>
      </w:r>
      <w:r w:rsidR="004425CA" w:rsidRPr="00ED255D">
        <w:t>37</w:t>
      </w:r>
      <w:r w:rsidR="004425CA">
        <w:t>% by the end of the study</w:t>
      </w:r>
      <w:r w:rsidR="0051013D">
        <w:t xml:space="preserve">.  </w:t>
      </w:r>
      <w:r>
        <w:t xml:space="preserve">Ideally, the capacity equivalent for subsequent </w:t>
      </w:r>
      <w:r w:rsidR="004425CA">
        <w:t xml:space="preserve">1000MW </w:t>
      </w:r>
      <w:r w:rsidR="00A41762">
        <w:t>tranche</w:t>
      </w:r>
      <w:r w:rsidR="00130277">
        <w:t>s</w:t>
      </w:r>
      <w:r w:rsidR="00A41762">
        <w:t xml:space="preserve"> </w:t>
      </w:r>
      <w:r>
        <w:t xml:space="preserve">would be determined by recalculating the </w:t>
      </w:r>
      <w:r w:rsidR="004425CA">
        <w:t xml:space="preserve">reliability impact of the next tranche </w:t>
      </w:r>
      <w:r>
        <w:t xml:space="preserve">assuming the previous </w:t>
      </w:r>
      <w:r w:rsidR="00A41762">
        <w:t xml:space="preserve">tranche </w:t>
      </w:r>
      <w:r>
        <w:t>had been implemented.  However</w:t>
      </w:r>
      <w:r w:rsidR="00C6403D">
        <w:t xml:space="preserve">, </w:t>
      </w:r>
      <w:r w:rsidR="00730397">
        <w:t>since this calculation could not be completed in the time frame associated with this study</w:t>
      </w:r>
      <w:r>
        <w:t xml:space="preserve">, </w:t>
      </w:r>
      <w:r w:rsidR="00D24EEC">
        <w:t xml:space="preserve">an analysis was performed to determine how increasing levels of distributed solar penetration would impact the effective peak load.  This impact of effective peak load was used as a proxy to determine the level of penetration at which distributed solar no longer </w:t>
      </w:r>
      <w:r w:rsidR="0030371C">
        <w:t xml:space="preserve">has </w:t>
      </w:r>
      <w:r w:rsidR="00D24EEC">
        <w:t xml:space="preserve">capacity worth.  </w:t>
      </w:r>
    </w:p>
    <w:p w14:paraId="503E111A" w14:textId="6B6DD72F" w:rsidR="00D24EEC" w:rsidRDefault="00D24EEC" w:rsidP="00D24EEC">
      <w:pPr>
        <w:ind w:firstLine="720"/>
      </w:pPr>
      <w:r>
        <w:t>Figure 2 below show a graphical representation of how various levels of distributed solar generation impact the effective load on a peak day in the year 2020</w:t>
      </w:r>
      <w:r w:rsidR="00E93DAC">
        <w:t xml:space="preserve">.  </w:t>
      </w:r>
      <w:r>
        <w:t>As the figure demonstrates, at distributed solar generation penetration levels of 7000MW and greater, there is a negligible impact on the peak load</w:t>
      </w:r>
      <w:r w:rsidR="00864866">
        <w:t xml:space="preserve"> because </w:t>
      </w:r>
      <w:r>
        <w:t>the effective peak load has shifted to</w:t>
      </w:r>
      <w:r w:rsidR="00864866">
        <w:t xml:space="preserve"> approximately 8PM, moving the effective peak into the evening (i.e., past sunset) hours.  Although this graph shows a non-linear impact in declining capacity worth (i.e., the rate at which the capacity value falls is greater at lower levels of penetration), a conservative approach of assuming a linear decline in capacity worth was taken.  The capacity worth for each of the eight solar tranches, therefore, was calculated as shown below</w:t>
      </w:r>
      <w:r w:rsidR="009C309D">
        <w:t xml:space="preserve"> in Table </w:t>
      </w:r>
      <w:r w:rsidR="00A26244">
        <w:t>9</w:t>
      </w:r>
      <w:r w:rsidR="00864866">
        <w:t xml:space="preserve"> following Figure 2.</w:t>
      </w:r>
      <w:r w:rsidR="007F747B">
        <w:t xml:space="preserve">   </w:t>
      </w:r>
      <w:r w:rsidR="007F747B" w:rsidRPr="002A6B0D">
        <w:t>If the ICE factor calculation considered the forecast error and intra-hour volatility that the Support Capacity attempts to consider, the resulting ICE factor would be lower than the values shown in Table 9.</w:t>
      </w:r>
    </w:p>
    <w:p w14:paraId="3E2CA647" w14:textId="77777777" w:rsidR="00DF035F" w:rsidRDefault="00DF035F" w:rsidP="00DF035F"/>
    <w:p w14:paraId="51F3D9DE" w14:textId="77777777" w:rsidR="00DF035F" w:rsidRDefault="00DF035F" w:rsidP="00DF035F"/>
    <w:p w14:paraId="12F9FEF4" w14:textId="77777777" w:rsidR="00DF035F" w:rsidRDefault="00DF035F" w:rsidP="00DF035F"/>
    <w:p w14:paraId="1BB6A04C" w14:textId="15028353" w:rsidR="009C7FDC" w:rsidRDefault="009C7FDC">
      <w:r>
        <w:br w:type="page"/>
      </w:r>
    </w:p>
    <w:p w14:paraId="48304C4A" w14:textId="7FEB9410" w:rsidR="00DF035F" w:rsidRDefault="00DF035F" w:rsidP="00DF035F">
      <w:r w:rsidRPr="001808FB">
        <w:rPr>
          <w:b/>
        </w:rPr>
        <w:lastRenderedPageBreak/>
        <w:t>Figure 3: Impacts of Distributed Solar on Effective Peak Load</w:t>
      </w:r>
    </w:p>
    <w:tbl>
      <w:tblPr>
        <w:tblStyle w:val="TableGrid"/>
        <w:tblW w:w="0" w:type="auto"/>
        <w:tblLook w:val="04A0" w:firstRow="1" w:lastRow="0" w:firstColumn="1" w:lastColumn="0" w:noHBand="0" w:noVBand="1"/>
      </w:tblPr>
      <w:tblGrid>
        <w:gridCol w:w="9576"/>
      </w:tblGrid>
      <w:tr w:rsidR="00B8637E" w14:paraId="05552558" w14:textId="77777777" w:rsidTr="002C5C9D">
        <w:tc>
          <w:tcPr>
            <w:tcW w:w="9576" w:type="dxa"/>
          </w:tcPr>
          <w:p w14:paraId="5A275F21" w14:textId="77777777" w:rsidR="00B8637E" w:rsidRDefault="00B8637E" w:rsidP="002C5C9D">
            <w:pPr>
              <w:jc w:val="center"/>
            </w:pPr>
          </w:p>
          <w:p w14:paraId="33796DEC" w14:textId="77777777" w:rsidR="00B8637E" w:rsidRPr="004939B8" w:rsidRDefault="00B8637E" w:rsidP="002C5C9D">
            <w:pPr>
              <w:jc w:val="center"/>
              <w:rPr>
                <w:sz w:val="48"/>
                <w:szCs w:val="48"/>
              </w:rPr>
            </w:pPr>
          </w:p>
          <w:p w14:paraId="0216E881" w14:textId="77777777" w:rsidR="00B8637E" w:rsidRPr="004939B8" w:rsidRDefault="00B8637E" w:rsidP="002C5C9D">
            <w:pPr>
              <w:jc w:val="center"/>
              <w:rPr>
                <w:sz w:val="48"/>
                <w:szCs w:val="48"/>
              </w:rPr>
            </w:pPr>
          </w:p>
          <w:p w14:paraId="07979DF5" w14:textId="77777777" w:rsidR="00B8637E" w:rsidRDefault="00B8637E" w:rsidP="002C5C9D">
            <w:pPr>
              <w:jc w:val="center"/>
              <w:rPr>
                <w:sz w:val="48"/>
                <w:szCs w:val="48"/>
              </w:rPr>
            </w:pPr>
          </w:p>
          <w:p w14:paraId="6B8D5679" w14:textId="77777777" w:rsidR="009C6BD0" w:rsidRPr="004939B8" w:rsidRDefault="009C6BD0" w:rsidP="002C5C9D">
            <w:pPr>
              <w:jc w:val="center"/>
              <w:rPr>
                <w:sz w:val="48"/>
                <w:szCs w:val="48"/>
              </w:rPr>
            </w:pPr>
          </w:p>
          <w:p w14:paraId="5E9369E3" w14:textId="77777777" w:rsidR="00B8637E" w:rsidRPr="004939B8" w:rsidRDefault="00B8637E" w:rsidP="002C5C9D">
            <w:pPr>
              <w:jc w:val="center"/>
              <w:rPr>
                <w:b/>
                <w:sz w:val="48"/>
                <w:szCs w:val="48"/>
              </w:rPr>
            </w:pPr>
            <w:r w:rsidRPr="004939B8">
              <w:rPr>
                <w:b/>
                <w:sz w:val="48"/>
                <w:szCs w:val="48"/>
              </w:rPr>
              <w:t>REDACTED</w:t>
            </w:r>
          </w:p>
          <w:p w14:paraId="585217E8" w14:textId="77777777" w:rsidR="00B8637E" w:rsidRPr="004939B8" w:rsidRDefault="00B8637E" w:rsidP="002C5C9D">
            <w:pPr>
              <w:jc w:val="center"/>
              <w:rPr>
                <w:sz w:val="48"/>
                <w:szCs w:val="48"/>
              </w:rPr>
            </w:pPr>
          </w:p>
          <w:p w14:paraId="606C1571" w14:textId="77777777" w:rsidR="00B8637E" w:rsidRDefault="00B8637E" w:rsidP="002C5C9D">
            <w:pPr>
              <w:jc w:val="center"/>
              <w:rPr>
                <w:sz w:val="48"/>
                <w:szCs w:val="48"/>
              </w:rPr>
            </w:pPr>
          </w:p>
          <w:p w14:paraId="43E24C98" w14:textId="77777777" w:rsidR="00B8637E" w:rsidRPr="004939B8" w:rsidRDefault="00B8637E" w:rsidP="002C5C9D">
            <w:pPr>
              <w:jc w:val="center"/>
              <w:rPr>
                <w:sz w:val="48"/>
                <w:szCs w:val="48"/>
              </w:rPr>
            </w:pPr>
          </w:p>
          <w:p w14:paraId="2D7F7B0D" w14:textId="77777777" w:rsidR="00B8637E" w:rsidRPr="004939B8" w:rsidRDefault="00B8637E" w:rsidP="002C5C9D">
            <w:pPr>
              <w:jc w:val="center"/>
              <w:rPr>
                <w:sz w:val="48"/>
                <w:szCs w:val="48"/>
              </w:rPr>
            </w:pPr>
          </w:p>
          <w:p w14:paraId="0EA063E3" w14:textId="77777777" w:rsidR="00B8637E" w:rsidRPr="004939B8" w:rsidRDefault="00B8637E" w:rsidP="002C5C9D">
            <w:pPr>
              <w:jc w:val="center"/>
              <w:rPr>
                <w:sz w:val="48"/>
                <w:szCs w:val="48"/>
              </w:rPr>
            </w:pPr>
          </w:p>
          <w:p w14:paraId="3A24BDDA" w14:textId="77777777" w:rsidR="00B8637E" w:rsidRPr="004939B8" w:rsidRDefault="00B8637E" w:rsidP="002C5C9D">
            <w:pPr>
              <w:jc w:val="center"/>
              <w:rPr>
                <w:sz w:val="48"/>
                <w:szCs w:val="48"/>
              </w:rPr>
            </w:pPr>
          </w:p>
          <w:p w14:paraId="2E942B7D" w14:textId="77777777" w:rsidR="00B8637E" w:rsidRDefault="00B8637E" w:rsidP="002C5C9D">
            <w:pPr>
              <w:jc w:val="center"/>
            </w:pPr>
          </w:p>
        </w:tc>
      </w:tr>
    </w:tbl>
    <w:p w14:paraId="19947F70" w14:textId="4230020C" w:rsidR="00AB208A" w:rsidRPr="004D4137" w:rsidRDefault="00AB208A" w:rsidP="00AB208A">
      <w:pPr>
        <w:rPr>
          <w:b/>
        </w:rPr>
      </w:pPr>
    </w:p>
    <w:p w14:paraId="70E99E1D" w14:textId="413294CD" w:rsidR="00864866" w:rsidRDefault="00445756" w:rsidP="00DF035F">
      <w:r>
        <w:t xml:space="preserve">Note: “Existing Renewables” reflects the impact of all renewable resources currently or committed to be installed on the </w:t>
      </w:r>
      <w:r w:rsidR="004D594F">
        <w:t xml:space="preserve">Southern Company </w:t>
      </w:r>
      <w:r w:rsidR="009830B9">
        <w:t>e</w:t>
      </w:r>
      <w:r w:rsidR="004D594F">
        <w:t xml:space="preserve">lectric </w:t>
      </w:r>
      <w:r w:rsidR="009830B9">
        <w:t>s</w:t>
      </w:r>
      <w:r w:rsidR="004D594F">
        <w:t>ystem</w:t>
      </w:r>
      <w:r>
        <w:t xml:space="preserve"> by the year 2020.</w:t>
      </w:r>
    </w:p>
    <w:p w14:paraId="0887C496" w14:textId="77777777" w:rsidR="00D646C0" w:rsidRDefault="00D646C0" w:rsidP="009C309D">
      <w:pPr>
        <w:ind w:firstLine="720"/>
      </w:pPr>
    </w:p>
    <w:p w14:paraId="5B8D5ED2" w14:textId="2C53A662" w:rsidR="00864866" w:rsidRPr="00E93DAC" w:rsidRDefault="00864866" w:rsidP="00E93DAC">
      <w:pPr>
        <w:rPr>
          <w:b/>
        </w:rPr>
      </w:pPr>
      <w:r w:rsidRPr="00E93DAC">
        <w:rPr>
          <w:b/>
        </w:rPr>
        <w:t xml:space="preserve">Table </w:t>
      </w:r>
      <w:r w:rsidR="00A26244">
        <w:rPr>
          <w:b/>
        </w:rPr>
        <w:t>9</w:t>
      </w:r>
      <w:r w:rsidR="00233D29">
        <w:rPr>
          <w:b/>
        </w:rPr>
        <w:t>:</w:t>
      </w:r>
      <w:r w:rsidRPr="00E93DAC">
        <w:rPr>
          <w:b/>
        </w:rPr>
        <w:t xml:space="preserve"> Distributed Solar Generation </w:t>
      </w:r>
      <w:r w:rsidR="00A7373E">
        <w:rPr>
          <w:b/>
        </w:rPr>
        <w:t>First</w:t>
      </w:r>
      <w:r w:rsidR="00B27C91">
        <w:rPr>
          <w:b/>
        </w:rPr>
        <w:t xml:space="preserve"> Year </w:t>
      </w:r>
      <w:r w:rsidRPr="00E93DAC">
        <w:rPr>
          <w:b/>
        </w:rPr>
        <w:t>ICE Factor Assumptions</w:t>
      </w:r>
    </w:p>
    <w:tbl>
      <w:tblPr>
        <w:tblStyle w:val="LightList-Accent1"/>
        <w:tblW w:w="5055" w:type="dxa"/>
        <w:tblLook w:val="04A0" w:firstRow="1" w:lastRow="0" w:firstColumn="1" w:lastColumn="0" w:noHBand="0" w:noVBand="1"/>
      </w:tblPr>
      <w:tblGrid>
        <w:gridCol w:w="1635"/>
        <w:gridCol w:w="1710"/>
        <w:gridCol w:w="1710"/>
      </w:tblGrid>
      <w:tr w:rsidR="00864866" w:rsidRPr="000D796C" w14:paraId="2088F943" w14:textId="77777777" w:rsidTr="0086486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tcPr>
          <w:p w14:paraId="597B9531" w14:textId="77777777" w:rsidR="00864866" w:rsidRPr="009D0009" w:rsidRDefault="00864866" w:rsidP="00B27C91">
            <w:pPr>
              <w:jc w:val="center"/>
              <w:rPr>
                <w:rFonts w:eastAsia="Times New Roman" w:cs="Arial"/>
                <w:color w:val="000000"/>
                <w:sz w:val="20"/>
                <w:szCs w:val="20"/>
              </w:rPr>
            </w:pPr>
            <w:r w:rsidRPr="009D0009">
              <w:rPr>
                <w:rFonts w:eastAsia="Times New Roman" w:cs="Arial"/>
                <w:sz w:val="20"/>
                <w:szCs w:val="20"/>
              </w:rPr>
              <w:t>Tranche</w:t>
            </w:r>
          </w:p>
        </w:tc>
        <w:tc>
          <w:tcPr>
            <w:tcW w:w="1710" w:type="dxa"/>
          </w:tcPr>
          <w:p w14:paraId="75174D78" w14:textId="77777777" w:rsidR="00864866" w:rsidRPr="009D0009" w:rsidRDefault="00864866" w:rsidP="00B27C9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rFonts w:eastAsia="Times New Roman" w:cs="Arial"/>
                <w:sz w:val="20"/>
                <w:szCs w:val="20"/>
              </w:rPr>
              <w:t>Decrease</w:t>
            </w:r>
          </w:p>
        </w:tc>
        <w:tc>
          <w:tcPr>
            <w:tcW w:w="1710" w:type="dxa"/>
            <w:noWrap/>
          </w:tcPr>
          <w:p w14:paraId="1A03D82D" w14:textId="77777777" w:rsidR="00864866" w:rsidRPr="009D0009" w:rsidRDefault="00864866" w:rsidP="00B27C9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rFonts w:eastAsia="Times New Roman" w:cs="Arial"/>
                <w:sz w:val="20"/>
                <w:szCs w:val="20"/>
              </w:rPr>
              <w:t>ICE Factor</w:t>
            </w:r>
          </w:p>
        </w:tc>
      </w:tr>
      <w:tr w:rsidR="00864866" w:rsidRPr="000D796C" w14:paraId="077C66FA" w14:textId="77777777" w:rsidTr="008648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1CF3AAF"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1000</w:t>
            </w:r>
          </w:p>
        </w:tc>
        <w:tc>
          <w:tcPr>
            <w:tcW w:w="1710" w:type="dxa"/>
          </w:tcPr>
          <w:p w14:paraId="460B2005"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009">
              <w:rPr>
                <w:color w:val="000000"/>
                <w:sz w:val="20"/>
                <w:szCs w:val="20"/>
              </w:rPr>
              <w:t>0%</w:t>
            </w:r>
          </w:p>
        </w:tc>
        <w:tc>
          <w:tcPr>
            <w:tcW w:w="1710" w:type="dxa"/>
            <w:noWrap/>
            <w:vAlign w:val="bottom"/>
            <w:hideMark/>
          </w:tcPr>
          <w:p w14:paraId="33D82E7E"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9D0009">
              <w:rPr>
                <w:color w:val="000000"/>
                <w:sz w:val="20"/>
                <w:szCs w:val="20"/>
              </w:rPr>
              <w:t>43.3%</w:t>
            </w:r>
          </w:p>
        </w:tc>
      </w:tr>
      <w:tr w:rsidR="00864866" w:rsidRPr="000D796C" w14:paraId="5B8BC47A" w14:textId="77777777" w:rsidTr="00864866">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4A873812"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2000</w:t>
            </w:r>
          </w:p>
        </w:tc>
        <w:tc>
          <w:tcPr>
            <w:tcW w:w="1710" w:type="dxa"/>
          </w:tcPr>
          <w:p w14:paraId="407EEDAB"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009">
              <w:rPr>
                <w:color w:val="000000"/>
                <w:sz w:val="20"/>
                <w:szCs w:val="20"/>
              </w:rPr>
              <w:t>17%</w:t>
            </w:r>
          </w:p>
        </w:tc>
        <w:tc>
          <w:tcPr>
            <w:tcW w:w="1710" w:type="dxa"/>
            <w:noWrap/>
            <w:vAlign w:val="bottom"/>
            <w:hideMark/>
          </w:tcPr>
          <w:p w14:paraId="60709EDF"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color w:val="000000"/>
                <w:sz w:val="20"/>
                <w:szCs w:val="20"/>
              </w:rPr>
              <w:t>36.1%</w:t>
            </w:r>
          </w:p>
        </w:tc>
      </w:tr>
      <w:tr w:rsidR="00864866" w:rsidRPr="000D796C" w14:paraId="223838DF" w14:textId="77777777" w:rsidTr="008648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1BFD52A4"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3000</w:t>
            </w:r>
          </w:p>
        </w:tc>
        <w:tc>
          <w:tcPr>
            <w:tcW w:w="1710" w:type="dxa"/>
          </w:tcPr>
          <w:p w14:paraId="60581AA5"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009">
              <w:rPr>
                <w:color w:val="000000"/>
                <w:sz w:val="20"/>
                <w:szCs w:val="20"/>
              </w:rPr>
              <w:t>33%</w:t>
            </w:r>
          </w:p>
        </w:tc>
        <w:tc>
          <w:tcPr>
            <w:tcW w:w="1710" w:type="dxa"/>
            <w:noWrap/>
            <w:vAlign w:val="bottom"/>
            <w:hideMark/>
          </w:tcPr>
          <w:p w14:paraId="2F030735"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9D0009">
              <w:rPr>
                <w:color w:val="000000"/>
                <w:sz w:val="20"/>
                <w:szCs w:val="20"/>
              </w:rPr>
              <w:t>28.9%</w:t>
            </w:r>
          </w:p>
        </w:tc>
      </w:tr>
      <w:tr w:rsidR="00864866" w:rsidRPr="000D796C" w14:paraId="30EE2663" w14:textId="77777777" w:rsidTr="00864866">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61EA9AD3"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4000</w:t>
            </w:r>
          </w:p>
        </w:tc>
        <w:tc>
          <w:tcPr>
            <w:tcW w:w="1710" w:type="dxa"/>
          </w:tcPr>
          <w:p w14:paraId="00428C5D"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009">
              <w:rPr>
                <w:color w:val="000000"/>
                <w:sz w:val="20"/>
                <w:szCs w:val="20"/>
              </w:rPr>
              <w:t>50%</w:t>
            </w:r>
          </w:p>
        </w:tc>
        <w:tc>
          <w:tcPr>
            <w:tcW w:w="1710" w:type="dxa"/>
            <w:noWrap/>
            <w:vAlign w:val="bottom"/>
            <w:hideMark/>
          </w:tcPr>
          <w:p w14:paraId="140F7AFE"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color w:val="000000"/>
                <w:sz w:val="20"/>
                <w:szCs w:val="20"/>
              </w:rPr>
              <w:t>21.7%</w:t>
            </w:r>
          </w:p>
        </w:tc>
      </w:tr>
      <w:tr w:rsidR="00864866" w:rsidRPr="000D796C" w14:paraId="28E9C1B8" w14:textId="77777777" w:rsidTr="008648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3B436A14"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5000</w:t>
            </w:r>
          </w:p>
        </w:tc>
        <w:tc>
          <w:tcPr>
            <w:tcW w:w="1710" w:type="dxa"/>
          </w:tcPr>
          <w:p w14:paraId="24496393"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009">
              <w:rPr>
                <w:color w:val="000000"/>
                <w:sz w:val="20"/>
                <w:szCs w:val="20"/>
              </w:rPr>
              <w:t>67%</w:t>
            </w:r>
          </w:p>
        </w:tc>
        <w:tc>
          <w:tcPr>
            <w:tcW w:w="1710" w:type="dxa"/>
            <w:noWrap/>
            <w:vAlign w:val="bottom"/>
            <w:hideMark/>
          </w:tcPr>
          <w:p w14:paraId="2E7DBDDE"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9D0009">
              <w:rPr>
                <w:color w:val="000000"/>
                <w:sz w:val="20"/>
                <w:szCs w:val="20"/>
              </w:rPr>
              <w:t>14.4%</w:t>
            </w:r>
          </w:p>
        </w:tc>
      </w:tr>
      <w:tr w:rsidR="00864866" w:rsidRPr="000D796C" w14:paraId="7E32AF55" w14:textId="77777777" w:rsidTr="00864866">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2AB9820B"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6000</w:t>
            </w:r>
          </w:p>
        </w:tc>
        <w:tc>
          <w:tcPr>
            <w:tcW w:w="1710" w:type="dxa"/>
          </w:tcPr>
          <w:p w14:paraId="29BE9D70"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009">
              <w:rPr>
                <w:color w:val="000000"/>
                <w:sz w:val="20"/>
                <w:szCs w:val="20"/>
              </w:rPr>
              <w:t>83%</w:t>
            </w:r>
          </w:p>
        </w:tc>
        <w:tc>
          <w:tcPr>
            <w:tcW w:w="1710" w:type="dxa"/>
            <w:noWrap/>
            <w:vAlign w:val="bottom"/>
            <w:hideMark/>
          </w:tcPr>
          <w:p w14:paraId="10AAA96F"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color w:val="000000"/>
                <w:sz w:val="20"/>
                <w:szCs w:val="20"/>
              </w:rPr>
              <w:t>7.2%</w:t>
            </w:r>
          </w:p>
        </w:tc>
      </w:tr>
      <w:tr w:rsidR="00864866" w:rsidRPr="000D796C" w14:paraId="012FDD5F" w14:textId="77777777" w:rsidTr="008648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797D4FEE"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7000</w:t>
            </w:r>
          </w:p>
        </w:tc>
        <w:tc>
          <w:tcPr>
            <w:tcW w:w="1710" w:type="dxa"/>
          </w:tcPr>
          <w:p w14:paraId="577047A2"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9D0009">
              <w:rPr>
                <w:color w:val="000000"/>
                <w:sz w:val="20"/>
                <w:szCs w:val="20"/>
              </w:rPr>
              <w:t>100%</w:t>
            </w:r>
          </w:p>
        </w:tc>
        <w:tc>
          <w:tcPr>
            <w:tcW w:w="1710" w:type="dxa"/>
            <w:noWrap/>
            <w:vAlign w:val="bottom"/>
            <w:hideMark/>
          </w:tcPr>
          <w:p w14:paraId="0978FA88" w14:textId="77777777" w:rsidR="00864866" w:rsidRPr="009D0009" w:rsidRDefault="00B27C91" w:rsidP="00B27C9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9D0009">
              <w:rPr>
                <w:color w:val="000000"/>
                <w:sz w:val="20"/>
                <w:szCs w:val="20"/>
              </w:rPr>
              <w:t>0%</w:t>
            </w:r>
          </w:p>
        </w:tc>
      </w:tr>
      <w:tr w:rsidR="00864866" w:rsidRPr="000D796C" w14:paraId="13831F7F" w14:textId="77777777" w:rsidTr="00864866">
        <w:trPr>
          <w:trHeight w:val="255"/>
        </w:trPr>
        <w:tc>
          <w:tcPr>
            <w:cnfStyle w:val="001000000000" w:firstRow="0" w:lastRow="0" w:firstColumn="1" w:lastColumn="0" w:oddVBand="0" w:evenVBand="0" w:oddHBand="0" w:evenHBand="0" w:firstRowFirstColumn="0" w:firstRowLastColumn="0" w:lastRowFirstColumn="0" w:lastRowLastColumn="0"/>
            <w:tcW w:w="1635" w:type="dxa"/>
            <w:noWrap/>
            <w:hideMark/>
          </w:tcPr>
          <w:p w14:paraId="244C2E33" w14:textId="77777777" w:rsidR="00864866" w:rsidRPr="009D0009" w:rsidRDefault="00864866" w:rsidP="00B27C91">
            <w:pPr>
              <w:jc w:val="center"/>
              <w:rPr>
                <w:rFonts w:eastAsia="Times New Roman" w:cs="Arial"/>
                <w:color w:val="000000"/>
                <w:sz w:val="20"/>
                <w:szCs w:val="20"/>
              </w:rPr>
            </w:pPr>
            <w:r w:rsidRPr="009D0009">
              <w:rPr>
                <w:rFonts w:eastAsia="Times New Roman" w:cs="Arial"/>
                <w:color w:val="000000"/>
                <w:sz w:val="20"/>
                <w:szCs w:val="20"/>
              </w:rPr>
              <w:t>8000</w:t>
            </w:r>
          </w:p>
        </w:tc>
        <w:tc>
          <w:tcPr>
            <w:tcW w:w="1710" w:type="dxa"/>
          </w:tcPr>
          <w:p w14:paraId="19952635"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9D0009">
              <w:rPr>
                <w:color w:val="000000"/>
                <w:sz w:val="20"/>
                <w:szCs w:val="20"/>
              </w:rPr>
              <w:t>100%</w:t>
            </w:r>
          </w:p>
        </w:tc>
        <w:tc>
          <w:tcPr>
            <w:tcW w:w="1710" w:type="dxa"/>
            <w:noWrap/>
            <w:vAlign w:val="bottom"/>
            <w:hideMark/>
          </w:tcPr>
          <w:p w14:paraId="09E78FC5" w14:textId="77777777" w:rsidR="00864866" w:rsidRPr="009D0009" w:rsidRDefault="00B27C91" w:rsidP="00B27C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9D0009">
              <w:rPr>
                <w:color w:val="000000"/>
                <w:sz w:val="20"/>
                <w:szCs w:val="20"/>
              </w:rPr>
              <w:t>0%</w:t>
            </w:r>
          </w:p>
        </w:tc>
      </w:tr>
    </w:tbl>
    <w:p w14:paraId="6B78F7D2" w14:textId="77777777" w:rsidR="00CE72F0" w:rsidRDefault="00CE72F0" w:rsidP="00CE72F0">
      <w:pPr>
        <w:ind w:firstLine="720"/>
      </w:pPr>
    </w:p>
    <w:p w14:paraId="1AC835DB" w14:textId="77777777" w:rsidR="00FF0FEB" w:rsidRDefault="00FF0FEB" w:rsidP="00CE72F0">
      <w:pPr>
        <w:ind w:firstLine="720"/>
      </w:pPr>
      <w:r>
        <w:lastRenderedPageBreak/>
        <w:t xml:space="preserve">As mentioned above, the first year in which the capacity benefit would apply would change with the subsequent </w:t>
      </w:r>
      <w:r w:rsidR="00B27C91">
        <w:t xml:space="preserve">1000MW </w:t>
      </w:r>
      <w:r w:rsidR="00A41762">
        <w:t>tranche</w:t>
      </w:r>
      <w:r w:rsidR="00730397">
        <w:t>s</w:t>
      </w:r>
      <w:r w:rsidR="00A41762">
        <w:t xml:space="preserve"> </w:t>
      </w:r>
      <w:r>
        <w:t xml:space="preserve">based on the results of recalculating the expansion plan with the prior </w:t>
      </w:r>
      <w:r w:rsidR="007F4FC0">
        <w:t>tranches</w:t>
      </w:r>
      <w:r>
        <w:t xml:space="preserve"> included.</w:t>
      </w:r>
      <w:r w:rsidR="000D796C">
        <w:t xml:space="preserve"> </w:t>
      </w:r>
      <w:r w:rsidR="00B27C91">
        <w:t xml:space="preserve"> In the base case, the year of need was </w:t>
      </w:r>
      <w:r w:rsidR="00B27C91" w:rsidRPr="0098248F">
        <w:t>2024</w:t>
      </w:r>
      <w:r w:rsidR="00B27C91">
        <w:t xml:space="preserve">.  For all eight 1000MW tranches, however, the year of need shifted to </w:t>
      </w:r>
      <w:r w:rsidR="00B27C91" w:rsidRPr="0098248F">
        <w:t>2025</w:t>
      </w:r>
      <w:r w:rsidR="00B27C91">
        <w:t xml:space="preserve">.  </w:t>
      </w:r>
    </w:p>
    <w:p w14:paraId="1DB3986D" w14:textId="5D297CB0" w:rsidR="00B24877" w:rsidRDefault="00B24877" w:rsidP="00BC678C">
      <w:pPr>
        <w:ind w:firstLine="720"/>
      </w:pPr>
      <w:r>
        <w:t xml:space="preserve">The </w:t>
      </w:r>
      <w:r w:rsidR="00CE72F0">
        <w:t>deferred</w:t>
      </w:r>
      <w:r>
        <w:t xml:space="preserve"> </w:t>
      </w:r>
      <w:r w:rsidR="0098248F">
        <w:t xml:space="preserve">generation </w:t>
      </w:r>
      <w:r>
        <w:t xml:space="preserve">capacity cost evaluation for each solar </w:t>
      </w:r>
      <w:r w:rsidR="00A41762">
        <w:t xml:space="preserve">tranche </w:t>
      </w:r>
      <w:r>
        <w:t>was then</w:t>
      </w:r>
      <w:r w:rsidR="00B27C91">
        <w:t xml:space="preserve"> calculated for each year for each tranche</w:t>
      </w:r>
      <w:r w:rsidR="00A26244">
        <w:t xml:space="preserve">.  Table 10 shows the results of this deferred capacity cost evaluation, which was </w:t>
      </w:r>
      <w:r w:rsidR="00B27C91">
        <w:t>then</w:t>
      </w:r>
      <w:r>
        <w:t xml:space="preserve"> levelized on a 30-year basis using </w:t>
      </w:r>
      <w:proofErr w:type="gramStart"/>
      <w:r>
        <w:t>an</w:t>
      </w:r>
      <w:proofErr w:type="gramEnd"/>
      <w:r>
        <w:t xml:space="preserve"> </w:t>
      </w:r>
      <w:r w:rsidR="005267D4">
        <w:rPr>
          <w:b/>
        </w:rPr>
        <w:t>REDACTED</w:t>
      </w:r>
      <w:r w:rsidR="005267D4" w:rsidRPr="005267D4" w:rsidDel="005267D4">
        <w:t xml:space="preserve"> </w:t>
      </w:r>
      <w:r>
        <w:t xml:space="preserve">WACC resulting in the </w:t>
      </w:r>
      <w:r w:rsidR="00A26244">
        <w:t xml:space="preserve">per-MWH deferred </w:t>
      </w:r>
      <w:r>
        <w:t xml:space="preserve">capacity costs in Table </w:t>
      </w:r>
      <w:r w:rsidR="00A26244">
        <w:t xml:space="preserve">11 </w:t>
      </w:r>
      <w:r>
        <w:t>below.</w:t>
      </w:r>
    </w:p>
    <w:p w14:paraId="18626297" w14:textId="46054D90" w:rsidR="00A26244" w:rsidRPr="00B24877" w:rsidRDefault="00A26244" w:rsidP="00A26244">
      <w:pPr>
        <w:spacing w:line="240" w:lineRule="auto"/>
        <w:rPr>
          <w:b/>
        </w:rPr>
      </w:pPr>
      <w:r w:rsidRPr="00B24877">
        <w:rPr>
          <w:b/>
        </w:rPr>
        <w:t xml:space="preserve">Table </w:t>
      </w:r>
      <w:r>
        <w:rPr>
          <w:b/>
        </w:rPr>
        <w:t>10:</w:t>
      </w:r>
      <w:r w:rsidRPr="00B24877">
        <w:rPr>
          <w:b/>
        </w:rPr>
        <w:t xml:space="preserve">  </w:t>
      </w:r>
      <w:r>
        <w:rPr>
          <w:b/>
        </w:rPr>
        <w:t>Deferred</w:t>
      </w:r>
      <w:r w:rsidRPr="00B24877">
        <w:rPr>
          <w:b/>
        </w:rPr>
        <w:t xml:space="preserve"> </w:t>
      </w:r>
      <w:r w:rsidR="0098248F">
        <w:rPr>
          <w:b/>
        </w:rPr>
        <w:t xml:space="preserve">Generation </w:t>
      </w:r>
      <w:r>
        <w:rPr>
          <w:b/>
        </w:rPr>
        <w:t>Capacity</w:t>
      </w:r>
      <w:r w:rsidRPr="00B24877">
        <w:rPr>
          <w:b/>
        </w:rPr>
        <w:t xml:space="preserve"> </w:t>
      </w:r>
      <w:r>
        <w:rPr>
          <w:b/>
        </w:rPr>
        <w:t>Costs (M$)</w:t>
      </w:r>
    </w:p>
    <w:tbl>
      <w:tblPr>
        <w:tblStyle w:val="LightList-Accent1"/>
        <w:tblW w:w="0" w:type="auto"/>
        <w:tblLook w:val="04A0" w:firstRow="1" w:lastRow="0" w:firstColumn="1" w:lastColumn="0" w:noHBand="0" w:noVBand="1"/>
      </w:tblPr>
      <w:tblGrid>
        <w:gridCol w:w="2988"/>
        <w:gridCol w:w="805"/>
        <w:gridCol w:w="1031"/>
        <w:gridCol w:w="792"/>
        <w:gridCol w:w="792"/>
        <w:gridCol w:w="792"/>
        <w:gridCol w:w="792"/>
        <w:gridCol w:w="792"/>
        <w:gridCol w:w="792"/>
      </w:tblGrid>
      <w:tr w:rsidR="0004165E" w:rsidRPr="00B24877" w14:paraId="46FD7C50" w14:textId="77777777" w:rsidTr="001D7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noWrap/>
            <w:hideMark/>
          </w:tcPr>
          <w:p w14:paraId="116CF886" w14:textId="77777777" w:rsidR="00A26244" w:rsidRPr="00B24877" w:rsidRDefault="00A26244" w:rsidP="00A26244">
            <w:pPr>
              <w:rPr>
                <w:sz w:val="18"/>
              </w:rPr>
            </w:pPr>
          </w:p>
        </w:tc>
        <w:tc>
          <w:tcPr>
            <w:tcW w:w="805" w:type="dxa"/>
            <w:tcBorders>
              <w:bottom w:val="single" w:sz="4" w:space="0" w:color="auto"/>
            </w:tcBorders>
            <w:noWrap/>
            <w:hideMark/>
          </w:tcPr>
          <w:p w14:paraId="1C86F2F7" w14:textId="77777777" w:rsidR="00A26244" w:rsidRPr="00643279"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bCs w:val="0"/>
                <w:color w:val="FFFFFF" w:themeColor="light1"/>
                <w:kern w:val="24"/>
                <w:sz w:val="20"/>
                <w:szCs w:val="20"/>
              </w:rPr>
              <w:t>1000</w:t>
            </w:r>
          </w:p>
        </w:tc>
        <w:tc>
          <w:tcPr>
            <w:tcW w:w="1031" w:type="dxa"/>
            <w:tcBorders>
              <w:bottom w:val="single" w:sz="4" w:space="0" w:color="auto"/>
            </w:tcBorders>
            <w:noWrap/>
            <w:hideMark/>
          </w:tcPr>
          <w:p w14:paraId="0023AFBF"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2000</w:t>
            </w:r>
          </w:p>
        </w:tc>
        <w:tc>
          <w:tcPr>
            <w:tcW w:w="792" w:type="dxa"/>
            <w:tcBorders>
              <w:bottom w:val="single" w:sz="4" w:space="0" w:color="auto"/>
            </w:tcBorders>
            <w:noWrap/>
            <w:hideMark/>
          </w:tcPr>
          <w:p w14:paraId="7419E6D5"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3000</w:t>
            </w:r>
          </w:p>
        </w:tc>
        <w:tc>
          <w:tcPr>
            <w:tcW w:w="792" w:type="dxa"/>
            <w:tcBorders>
              <w:bottom w:val="single" w:sz="4" w:space="0" w:color="auto"/>
            </w:tcBorders>
            <w:noWrap/>
            <w:hideMark/>
          </w:tcPr>
          <w:p w14:paraId="20B97F48"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4000</w:t>
            </w:r>
          </w:p>
        </w:tc>
        <w:tc>
          <w:tcPr>
            <w:tcW w:w="792" w:type="dxa"/>
            <w:tcBorders>
              <w:bottom w:val="single" w:sz="4" w:space="0" w:color="auto"/>
            </w:tcBorders>
            <w:noWrap/>
            <w:hideMark/>
          </w:tcPr>
          <w:p w14:paraId="07549F49"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5000</w:t>
            </w:r>
          </w:p>
        </w:tc>
        <w:tc>
          <w:tcPr>
            <w:tcW w:w="792" w:type="dxa"/>
            <w:tcBorders>
              <w:bottom w:val="single" w:sz="4" w:space="0" w:color="auto"/>
            </w:tcBorders>
            <w:noWrap/>
            <w:hideMark/>
          </w:tcPr>
          <w:p w14:paraId="546F7ADA"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6000</w:t>
            </w:r>
          </w:p>
        </w:tc>
        <w:tc>
          <w:tcPr>
            <w:tcW w:w="792" w:type="dxa"/>
            <w:tcBorders>
              <w:bottom w:val="single" w:sz="4" w:space="0" w:color="auto"/>
            </w:tcBorders>
            <w:noWrap/>
            <w:hideMark/>
          </w:tcPr>
          <w:p w14:paraId="53C8D409"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7000</w:t>
            </w:r>
          </w:p>
        </w:tc>
        <w:tc>
          <w:tcPr>
            <w:tcW w:w="792" w:type="dxa"/>
            <w:tcBorders>
              <w:bottom w:val="single" w:sz="4" w:space="0" w:color="auto"/>
            </w:tcBorders>
            <w:noWrap/>
            <w:hideMark/>
          </w:tcPr>
          <w:p w14:paraId="5A7B4B1D" w14:textId="77777777" w:rsidR="00A26244" w:rsidRPr="005C25CB" w:rsidRDefault="00A26244" w:rsidP="00A2624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8000</w:t>
            </w:r>
          </w:p>
        </w:tc>
      </w:tr>
      <w:tr w:rsidR="0004165E" w:rsidRPr="00B24877" w14:paraId="5CC9FE4F" w14:textId="77777777" w:rsidTr="001D7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left w:val="single" w:sz="4" w:space="0" w:color="auto"/>
              <w:bottom w:val="single" w:sz="4" w:space="0" w:color="auto"/>
              <w:right w:val="single" w:sz="4" w:space="0" w:color="auto"/>
            </w:tcBorders>
            <w:noWrap/>
            <w:hideMark/>
          </w:tcPr>
          <w:p w14:paraId="0596EEAB" w14:textId="49BF5146" w:rsidR="001808FB" w:rsidRPr="002F65B3" w:rsidRDefault="001808FB">
            <w:pPr>
              <w:rPr>
                <w:sz w:val="20"/>
                <w:szCs w:val="20"/>
              </w:rPr>
            </w:pPr>
            <w:r>
              <w:rPr>
                <w:sz w:val="20"/>
                <w:szCs w:val="20"/>
              </w:rPr>
              <w:t>Incremental</w:t>
            </w:r>
            <w:r w:rsidRPr="002F65B3">
              <w:rPr>
                <w:sz w:val="20"/>
                <w:szCs w:val="20"/>
              </w:rPr>
              <w:t xml:space="preserve"> PV (2015 M$)</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0A4ED54A" w14:textId="47D70E84" w:rsidR="001808FB" w:rsidRPr="002F65B3" w:rsidRDefault="001808FB"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1031" w:type="dxa"/>
            <w:tcBorders>
              <w:top w:val="single" w:sz="4" w:space="0" w:color="auto"/>
              <w:left w:val="single" w:sz="4" w:space="0" w:color="auto"/>
              <w:bottom w:val="single" w:sz="4" w:space="0" w:color="auto"/>
              <w:right w:val="single" w:sz="4" w:space="0" w:color="auto"/>
            </w:tcBorders>
            <w:noWrap/>
            <w:vAlign w:val="center"/>
            <w:hideMark/>
          </w:tcPr>
          <w:p w14:paraId="0D593015" w14:textId="2054AFC7"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319651F3" w14:textId="6BE82641"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6ED29338" w14:textId="441077F6"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1F66B12C" w14:textId="46D6E4DE"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41A7B921" w14:textId="3D1703F2"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5A760027" w14:textId="36FF38F3"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7BF0B7D9" w14:textId="78389A8A" w:rsidR="001808FB" w:rsidRPr="002F65B3" w:rsidRDefault="001808FB"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73A2E">
              <w:rPr>
                <w:b/>
                <w:sz w:val="13"/>
                <w:szCs w:val="13"/>
              </w:rPr>
              <w:t>REDACTED</w:t>
            </w:r>
          </w:p>
        </w:tc>
      </w:tr>
    </w:tbl>
    <w:p w14:paraId="4C2E0DEA" w14:textId="77777777" w:rsidR="00A26244" w:rsidRDefault="00A26244" w:rsidP="00A26244">
      <w:pPr>
        <w:spacing w:line="240" w:lineRule="auto"/>
      </w:pPr>
      <w:r>
        <w:t>Positive values represent benefits in the cost benefit determination.</w:t>
      </w:r>
    </w:p>
    <w:p w14:paraId="1DD8B575" w14:textId="77777777" w:rsidR="00A26244" w:rsidRDefault="00A26244" w:rsidP="00BC678C">
      <w:pPr>
        <w:rPr>
          <w:b/>
        </w:rPr>
      </w:pPr>
    </w:p>
    <w:p w14:paraId="1DB60F1D" w14:textId="547D64D5" w:rsidR="00B24877" w:rsidRDefault="00B24877" w:rsidP="00B24877">
      <w:pPr>
        <w:spacing w:line="240" w:lineRule="auto"/>
        <w:rPr>
          <w:b/>
        </w:rPr>
      </w:pPr>
      <w:r>
        <w:rPr>
          <w:b/>
        </w:rPr>
        <w:t xml:space="preserve">Table </w:t>
      </w:r>
      <w:r w:rsidR="00A26244">
        <w:rPr>
          <w:b/>
        </w:rPr>
        <w:t>11</w:t>
      </w:r>
      <w:r w:rsidR="00A41762">
        <w:rPr>
          <w:b/>
        </w:rPr>
        <w:t xml:space="preserve">: </w:t>
      </w:r>
      <w:r w:rsidR="001A7FA8">
        <w:rPr>
          <w:b/>
        </w:rPr>
        <w:t>Levelized</w:t>
      </w:r>
      <w:r>
        <w:rPr>
          <w:b/>
        </w:rPr>
        <w:t xml:space="preserve"> </w:t>
      </w:r>
      <w:r w:rsidR="00CE72F0">
        <w:rPr>
          <w:b/>
        </w:rPr>
        <w:t>Deferred</w:t>
      </w:r>
      <w:r>
        <w:rPr>
          <w:b/>
        </w:rPr>
        <w:t xml:space="preserve"> </w:t>
      </w:r>
      <w:r w:rsidR="0098248F">
        <w:rPr>
          <w:b/>
        </w:rPr>
        <w:t xml:space="preserve">Generation </w:t>
      </w:r>
      <w:r>
        <w:rPr>
          <w:b/>
        </w:rPr>
        <w:t>Capacity Costs</w:t>
      </w:r>
      <w:r w:rsidR="00771B83">
        <w:rPr>
          <w:b/>
        </w:rPr>
        <w:t xml:space="preserve"> ($/MWH)</w:t>
      </w:r>
    </w:p>
    <w:tbl>
      <w:tblPr>
        <w:tblStyle w:val="LightList-Accent1"/>
        <w:tblW w:w="9685" w:type="dxa"/>
        <w:tblLook w:val="04A0" w:firstRow="1" w:lastRow="0" w:firstColumn="1" w:lastColumn="0" w:noHBand="0" w:noVBand="1"/>
      </w:tblPr>
      <w:tblGrid>
        <w:gridCol w:w="3223"/>
        <w:gridCol w:w="792"/>
        <w:gridCol w:w="852"/>
        <w:gridCol w:w="792"/>
        <w:gridCol w:w="792"/>
        <w:gridCol w:w="792"/>
        <w:gridCol w:w="792"/>
        <w:gridCol w:w="792"/>
        <w:gridCol w:w="858"/>
      </w:tblGrid>
      <w:tr w:rsidR="001D7976" w:rsidRPr="00B24877" w14:paraId="470C1F32" w14:textId="77777777" w:rsidTr="001D7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3" w:type="dxa"/>
            <w:tcBorders>
              <w:bottom w:val="single" w:sz="4" w:space="0" w:color="auto"/>
            </w:tcBorders>
            <w:noWrap/>
            <w:hideMark/>
          </w:tcPr>
          <w:p w14:paraId="6C6E9B8E" w14:textId="77777777" w:rsidR="00A76AC5" w:rsidRPr="00B24877" w:rsidRDefault="00A76AC5" w:rsidP="00B24877">
            <w:pPr>
              <w:rPr>
                <w:sz w:val="18"/>
              </w:rPr>
            </w:pPr>
          </w:p>
        </w:tc>
        <w:tc>
          <w:tcPr>
            <w:tcW w:w="792" w:type="dxa"/>
            <w:tcBorders>
              <w:bottom w:val="single" w:sz="4" w:space="0" w:color="auto"/>
            </w:tcBorders>
            <w:noWrap/>
            <w:hideMark/>
          </w:tcPr>
          <w:p w14:paraId="6A52967C"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bCs w:val="0"/>
                <w:color w:val="FFFFFF" w:themeColor="light1"/>
                <w:kern w:val="24"/>
                <w:sz w:val="20"/>
                <w:szCs w:val="20"/>
              </w:rPr>
              <w:t>1000</w:t>
            </w:r>
          </w:p>
        </w:tc>
        <w:tc>
          <w:tcPr>
            <w:tcW w:w="852" w:type="dxa"/>
            <w:tcBorders>
              <w:bottom w:val="single" w:sz="4" w:space="0" w:color="auto"/>
            </w:tcBorders>
            <w:noWrap/>
            <w:hideMark/>
          </w:tcPr>
          <w:p w14:paraId="7D6415A5"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2000</w:t>
            </w:r>
          </w:p>
        </w:tc>
        <w:tc>
          <w:tcPr>
            <w:tcW w:w="792" w:type="dxa"/>
            <w:tcBorders>
              <w:bottom w:val="single" w:sz="4" w:space="0" w:color="auto"/>
            </w:tcBorders>
            <w:noWrap/>
            <w:hideMark/>
          </w:tcPr>
          <w:p w14:paraId="039F4BCA"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3000</w:t>
            </w:r>
          </w:p>
        </w:tc>
        <w:tc>
          <w:tcPr>
            <w:tcW w:w="792" w:type="dxa"/>
            <w:tcBorders>
              <w:bottom w:val="single" w:sz="4" w:space="0" w:color="auto"/>
            </w:tcBorders>
            <w:noWrap/>
            <w:hideMark/>
          </w:tcPr>
          <w:p w14:paraId="112B26A1"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4000</w:t>
            </w:r>
          </w:p>
        </w:tc>
        <w:tc>
          <w:tcPr>
            <w:tcW w:w="792" w:type="dxa"/>
            <w:tcBorders>
              <w:bottom w:val="single" w:sz="4" w:space="0" w:color="auto"/>
            </w:tcBorders>
            <w:noWrap/>
            <w:hideMark/>
          </w:tcPr>
          <w:p w14:paraId="3F75A257"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5000</w:t>
            </w:r>
          </w:p>
        </w:tc>
        <w:tc>
          <w:tcPr>
            <w:tcW w:w="792" w:type="dxa"/>
            <w:tcBorders>
              <w:bottom w:val="single" w:sz="4" w:space="0" w:color="auto"/>
            </w:tcBorders>
            <w:noWrap/>
            <w:hideMark/>
          </w:tcPr>
          <w:p w14:paraId="1EE1B1C2"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6000</w:t>
            </w:r>
          </w:p>
        </w:tc>
        <w:tc>
          <w:tcPr>
            <w:tcW w:w="792" w:type="dxa"/>
            <w:tcBorders>
              <w:bottom w:val="single" w:sz="4" w:space="0" w:color="auto"/>
            </w:tcBorders>
            <w:noWrap/>
            <w:hideMark/>
          </w:tcPr>
          <w:p w14:paraId="536D2443"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7000</w:t>
            </w:r>
          </w:p>
        </w:tc>
        <w:tc>
          <w:tcPr>
            <w:tcW w:w="858" w:type="dxa"/>
            <w:tcBorders>
              <w:bottom w:val="single" w:sz="4" w:space="0" w:color="auto"/>
            </w:tcBorders>
            <w:noWrap/>
            <w:hideMark/>
          </w:tcPr>
          <w:p w14:paraId="1D14EE71" w14:textId="77777777" w:rsidR="00A76AC5" w:rsidRPr="00B24877" w:rsidRDefault="00A76AC5" w:rsidP="00E16FE4">
            <w:pPr>
              <w:jc w:val="center"/>
              <w:cnfStyle w:val="100000000000" w:firstRow="1" w:lastRow="0" w:firstColumn="0" w:lastColumn="0" w:oddVBand="0" w:evenVBand="0" w:oddHBand="0" w:evenHBand="0" w:firstRowFirstColumn="0" w:firstRowLastColumn="0" w:lastRowFirstColumn="0" w:lastRowLastColumn="0"/>
              <w:rPr>
                <w:sz w:val="18"/>
              </w:rPr>
            </w:pPr>
            <w:r w:rsidRPr="002B4AB7">
              <w:rPr>
                <w:rFonts w:eastAsia="Times New Roman" w:cs="Arial"/>
                <w:sz w:val="20"/>
                <w:szCs w:val="20"/>
              </w:rPr>
              <w:t>8000</w:t>
            </w:r>
          </w:p>
        </w:tc>
      </w:tr>
      <w:tr w:rsidR="001D7976" w:rsidRPr="00B24877" w14:paraId="2DE370C1" w14:textId="77777777" w:rsidTr="001D7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3" w:type="dxa"/>
            <w:tcBorders>
              <w:top w:val="single" w:sz="4" w:space="0" w:color="auto"/>
              <w:left w:val="single" w:sz="4" w:space="0" w:color="auto"/>
              <w:bottom w:val="single" w:sz="4" w:space="0" w:color="auto"/>
              <w:right w:val="single" w:sz="4" w:space="0" w:color="auto"/>
            </w:tcBorders>
            <w:noWrap/>
            <w:hideMark/>
          </w:tcPr>
          <w:p w14:paraId="37159935" w14:textId="2FD2177E" w:rsidR="00B22526" w:rsidRPr="002F65B3" w:rsidRDefault="00B22526" w:rsidP="00B24877">
            <w:pPr>
              <w:rPr>
                <w:sz w:val="20"/>
                <w:szCs w:val="20"/>
              </w:rPr>
            </w:pPr>
            <w:r w:rsidRPr="002F65B3">
              <w:rPr>
                <w:sz w:val="20"/>
                <w:szCs w:val="20"/>
              </w:rPr>
              <w:t>Deferred Generation Capacity Costs</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52A34A23" w14:textId="2E8D9F4A" w:rsidR="00B22526" w:rsidRPr="0098248F" w:rsidRDefault="00B22526" w:rsidP="00B22526">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852" w:type="dxa"/>
            <w:tcBorders>
              <w:top w:val="single" w:sz="4" w:space="0" w:color="auto"/>
              <w:left w:val="single" w:sz="4" w:space="0" w:color="auto"/>
              <w:bottom w:val="single" w:sz="4" w:space="0" w:color="auto"/>
              <w:right w:val="single" w:sz="4" w:space="0" w:color="auto"/>
            </w:tcBorders>
            <w:noWrap/>
            <w:vAlign w:val="center"/>
            <w:hideMark/>
          </w:tcPr>
          <w:p w14:paraId="5D601048" w14:textId="0A2496CE"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495D85C1" w14:textId="38BA03CD"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23E110A9" w14:textId="53309455"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0C48EB2E" w14:textId="09B757F3"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6472F7A2" w14:textId="59B5BB4D"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792" w:type="dxa"/>
            <w:tcBorders>
              <w:top w:val="single" w:sz="4" w:space="0" w:color="auto"/>
              <w:left w:val="single" w:sz="4" w:space="0" w:color="auto"/>
              <w:bottom w:val="single" w:sz="4" w:space="0" w:color="auto"/>
              <w:right w:val="single" w:sz="4" w:space="0" w:color="auto"/>
            </w:tcBorders>
            <w:noWrap/>
            <w:vAlign w:val="center"/>
            <w:hideMark/>
          </w:tcPr>
          <w:p w14:paraId="2992FD56" w14:textId="2BDF5164"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18"/>
                <w:highlight w:val="yellow"/>
              </w:rPr>
            </w:pPr>
            <w:r w:rsidRPr="00E54AE1">
              <w:rPr>
                <w:b/>
                <w:sz w:val="13"/>
                <w:szCs w:val="13"/>
              </w:rPr>
              <w:t>REDACTED</w:t>
            </w: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070D8CE9" w14:textId="314229B1"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E54AE1">
              <w:rPr>
                <w:b/>
                <w:sz w:val="13"/>
                <w:szCs w:val="13"/>
              </w:rPr>
              <w:t>REDACTED</w:t>
            </w:r>
          </w:p>
        </w:tc>
      </w:tr>
    </w:tbl>
    <w:p w14:paraId="0969791A" w14:textId="77777777" w:rsidR="000B2A34" w:rsidRDefault="000B2A34" w:rsidP="00BC678C">
      <w:pPr>
        <w:rPr>
          <w:b/>
        </w:rPr>
      </w:pPr>
      <w:r>
        <w:t>Positive values represent benefit</w:t>
      </w:r>
      <w:r w:rsidR="00C25A2F">
        <w:t>s</w:t>
      </w:r>
      <w:r>
        <w:t xml:space="preserve"> in the cost benefit determination.</w:t>
      </w:r>
    </w:p>
    <w:p w14:paraId="2E579DE2" w14:textId="77777777" w:rsidR="00CE72F0" w:rsidRDefault="00CE72F0" w:rsidP="00BC678C"/>
    <w:p w14:paraId="6CC61C65" w14:textId="77777777" w:rsidR="00CE72F0" w:rsidRPr="001068E1" w:rsidRDefault="00CE72F0" w:rsidP="00C54423">
      <w:pPr>
        <w:rPr>
          <w:b/>
        </w:rPr>
      </w:pPr>
      <w:r>
        <w:rPr>
          <w:b/>
        </w:rPr>
        <w:t>Deferred Transmission Investment</w:t>
      </w:r>
    </w:p>
    <w:p w14:paraId="073C51F8" w14:textId="1BA1488D" w:rsidR="00CE72F0" w:rsidRDefault="00C54423" w:rsidP="00BC678C">
      <w:pPr>
        <w:ind w:firstLine="720"/>
      </w:pPr>
      <w:r>
        <w:t xml:space="preserve">As established in the </w:t>
      </w:r>
      <w:r w:rsidR="0052097F">
        <w:t>Framework</w:t>
      </w:r>
      <w:r w:rsidR="00A41762">
        <w:t>,</w:t>
      </w:r>
      <w:r>
        <w:t xml:space="preserve"> the Deferred Transmission Investment </w:t>
      </w:r>
      <w:r w:rsidR="00730397">
        <w:t xml:space="preserve">represents the value of the transmission projects deferred as a result of additional distributed solar on the system.  The deferred transmission investment </w:t>
      </w:r>
      <w:r w:rsidR="00563362">
        <w:t xml:space="preserve">was determined based on a previous study that was performed at the </w:t>
      </w:r>
      <w:r w:rsidR="004D594F">
        <w:t xml:space="preserve">Southern Company </w:t>
      </w:r>
      <w:r w:rsidR="009830B9">
        <w:t>e</w:t>
      </w:r>
      <w:r w:rsidR="004D594F">
        <w:t xml:space="preserve">lectric </w:t>
      </w:r>
      <w:r w:rsidR="009830B9">
        <w:t>s</w:t>
      </w:r>
      <w:r w:rsidR="004D594F">
        <w:t>ystem</w:t>
      </w:r>
      <w:r w:rsidR="00563362">
        <w:t xml:space="preserve"> level and </w:t>
      </w:r>
      <w:r>
        <w:t xml:space="preserve">was </w:t>
      </w:r>
      <w:r w:rsidR="00730397">
        <w:t xml:space="preserve">calculated as follows.  </w:t>
      </w:r>
      <w:r w:rsidR="00E93DAC">
        <w:t>First,</w:t>
      </w:r>
      <w:r w:rsidR="007E0FC6">
        <w:t xml:space="preserve"> the long run (20 year) incremental cost of transmission expansion </w:t>
      </w:r>
      <w:r w:rsidR="00730397">
        <w:t>was identified</w:t>
      </w:r>
      <w:r w:rsidR="00E93DAC">
        <w:t xml:space="preserve">.  </w:t>
      </w:r>
      <w:r w:rsidR="00730397">
        <w:t>This cost included</w:t>
      </w:r>
      <w:r w:rsidR="007E0FC6">
        <w:t xml:space="preserve"> the various transmission projects that would be needed assuming 500MW of load growth per year</w:t>
      </w:r>
      <w:r w:rsidR="00643279">
        <w:rPr>
          <w:rStyle w:val="FootnoteReference"/>
        </w:rPr>
        <w:footnoteReference w:id="7"/>
      </w:r>
      <w:r w:rsidR="007E0FC6">
        <w:t xml:space="preserve"> </w:t>
      </w:r>
      <w:r w:rsidR="00A33C5A">
        <w:t xml:space="preserve">starting in 2020 and continuing </w:t>
      </w:r>
      <w:r w:rsidR="007E0FC6">
        <w:t>over a period of 20 years</w:t>
      </w:r>
      <w:r w:rsidR="0061699B">
        <w:t xml:space="preserve"> without installation of the distributed solar PV</w:t>
      </w:r>
      <w:r w:rsidR="007E0FC6">
        <w:t xml:space="preserve">.  The total </w:t>
      </w:r>
      <w:r w:rsidR="0061699B">
        <w:t xml:space="preserve">transmission </w:t>
      </w:r>
      <w:r w:rsidR="007E0FC6">
        <w:t xml:space="preserve">projects identified equated to a total long run incremental cost of transmission of </w:t>
      </w:r>
      <w:r w:rsidR="005267D4">
        <w:rPr>
          <w:b/>
        </w:rPr>
        <w:t>REDACTED</w:t>
      </w:r>
      <w:r w:rsidR="005267D4" w:rsidRPr="005267D4" w:rsidDel="005267D4">
        <w:t xml:space="preserve"> </w:t>
      </w:r>
      <w:r w:rsidR="00EE0D7D">
        <w:rPr>
          <w:rStyle w:val="FootnoteReference"/>
        </w:rPr>
        <w:footnoteReference w:id="8"/>
      </w:r>
      <w:r w:rsidR="007E0FC6">
        <w:t xml:space="preserve"> in 2015$.</w:t>
      </w:r>
    </w:p>
    <w:p w14:paraId="61F58662" w14:textId="7A9E8F12" w:rsidR="007E0FC6" w:rsidRDefault="007E0FC6" w:rsidP="00BC678C">
      <w:pPr>
        <w:ind w:firstLine="720"/>
      </w:pPr>
      <w:r>
        <w:t>Using these projects as a baseline</w:t>
      </w:r>
      <w:r w:rsidR="00563362">
        <w:t xml:space="preserve">, </w:t>
      </w:r>
      <w:r>
        <w:t xml:space="preserve">1000MW solar </w:t>
      </w:r>
      <w:r w:rsidR="00A41762">
        <w:t>tranches</w:t>
      </w:r>
      <w:r w:rsidR="00563362">
        <w:t xml:space="preserve"> at the system level were </w:t>
      </w:r>
      <w:r w:rsidR="00A7373E">
        <w:t>evaluated to</w:t>
      </w:r>
      <w:r>
        <w:t xml:space="preserve"> determine which </w:t>
      </w:r>
      <w:r w:rsidR="00301D1D">
        <w:t xml:space="preserve">transmission </w:t>
      </w:r>
      <w:r>
        <w:t xml:space="preserve">projects could be deferred (and for how many years) as a result of adding the </w:t>
      </w:r>
      <w:r w:rsidR="00A41762">
        <w:t xml:space="preserve">distributed </w:t>
      </w:r>
      <w:r>
        <w:t xml:space="preserve">solar.  </w:t>
      </w:r>
      <w:r w:rsidR="005F7F84">
        <w:t xml:space="preserve">The amount of distributed solar that was assumed to be available and </w:t>
      </w:r>
      <w:r w:rsidR="005F7F84">
        <w:lastRenderedPageBreak/>
        <w:t xml:space="preserve">offsetting load at the peak </w:t>
      </w:r>
      <w:r w:rsidR="009009C0">
        <w:t xml:space="preserve">(i.e., coincident with the transmission peak load) </w:t>
      </w:r>
      <w:r w:rsidR="005F7F84">
        <w:t xml:space="preserve">was </w:t>
      </w:r>
      <w:r w:rsidR="005267D4">
        <w:rPr>
          <w:b/>
        </w:rPr>
        <w:t>REDACTED</w:t>
      </w:r>
      <w:r w:rsidR="005267D4" w:rsidRPr="005267D4" w:rsidDel="005267D4">
        <w:t xml:space="preserve"> </w:t>
      </w:r>
      <w:r w:rsidR="005F7F84">
        <w:rPr>
          <w:rStyle w:val="FootnoteReference"/>
        </w:rPr>
        <w:footnoteReference w:id="9"/>
      </w:r>
      <w:r w:rsidR="005F7F84">
        <w:t xml:space="preserve"> of the installed amount (i.e., </w:t>
      </w:r>
      <w:r w:rsidR="000018CD">
        <w:t>534</w:t>
      </w:r>
      <w:r w:rsidR="005F7F84">
        <w:t xml:space="preserve">MW for each 1000MW tranche). </w:t>
      </w:r>
      <w:r w:rsidR="00CE12B9">
        <w:t xml:space="preserve"> </w:t>
      </w:r>
      <w:r>
        <w:t xml:space="preserve">The deferral cost (i.e., the Economic Carrying Cost or ECC) of these projects then served as the basis for determining the avoided transmission cost associated with each solar </w:t>
      </w:r>
      <w:r w:rsidR="00A41762">
        <w:t>tranche</w:t>
      </w:r>
      <w:r>
        <w:t xml:space="preserve">.  Table </w:t>
      </w:r>
      <w:r w:rsidR="00E02BB5">
        <w:t xml:space="preserve">12 </w:t>
      </w:r>
      <w:r>
        <w:t xml:space="preserve">below shows a summary of the calculated avoided transmission cost for each solar </w:t>
      </w:r>
      <w:r w:rsidR="00A41762">
        <w:t xml:space="preserve">tranche </w:t>
      </w:r>
      <w:r>
        <w:t>using this methodology.</w:t>
      </w:r>
    </w:p>
    <w:p w14:paraId="69A6CB98" w14:textId="77777777" w:rsidR="00A33C5A" w:rsidRDefault="00A33C5A" w:rsidP="00BC678C">
      <w:pPr>
        <w:ind w:firstLine="720"/>
      </w:pPr>
    </w:p>
    <w:p w14:paraId="101C92F2" w14:textId="6B6D806A" w:rsidR="00553A6B" w:rsidRPr="00BC678C" w:rsidRDefault="00553A6B" w:rsidP="00BC678C">
      <w:pPr>
        <w:rPr>
          <w:b/>
        </w:rPr>
      </w:pPr>
      <w:r w:rsidRPr="00BC678C">
        <w:rPr>
          <w:b/>
        </w:rPr>
        <w:t xml:space="preserve">Table </w:t>
      </w:r>
      <w:r w:rsidR="00E02BB5">
        <w:rPr>
          <w:b/>
        </w:rPr>
        <w:t>12</w:t>
      </w:r>
      <w:r w:rsidR="00A41762">
        <w:rPr>
          <w:b/>
        </w:rPr>
        <w:t>:</w:t>
      </w:r>
      <w:r w:rsidR="00A41762" w:rsidRPr="00BC678C">
        <w:rPr>
          <w:b/>
        </w:rPr>
        <w:t xml:space="preserve"> </w:t>
      </w:r>
      <w:r w:rsidRPr="00BC678C">
        <w:rPr>
          <w:b/>
        </w:rPr>
        <w:t xml:space="preserve">20-Year </w:t>
      </w:r>
      <w:r w:rsidR="00A41762">
        <w:rPr>
          <w:b/>
        </w:rPr>
        <w:t>Deferred</w:t>
      </w:r>
      <w:r w:rsidR="00A41762" w:rsidRPr="00BC678C">
        <w:rPr>
          <w:b/>
        </w:rPr>
        <w:t xml:space="preserve"> </w:t>
      </w:r>
      <w:r w:rsidRPr="00BC678C">
        <w:rPr>
          <w:b/>
        </w:rPr>
        <w:t xml:space="preserve">Transmission </w:t>
      </w:r>
      <w:r w:rsidR="00A33C5A">
        <w:rPr>
          <w:b/>
        </w:rPr>
        <w:t xml:space="preserve">Investment </w:t>
      </w:r>
      <w:r w:rsidRPr="00BC678C">
        <w:rPr>
          <w:b/>
        </w:rPr>
        <w:t>Cost (</w:t>
      </w:r>
      <w:r>
        <w:rPr>
          <w:b/>
        </w:rPr>
        <w:t>M$)</w:t>
      </w:r>
    </w:p>
    <w:tbl>
      <w:tblPr>
        <w:tblStyle w:val="LightList-Accent1"/>
        <w:tblW w:w="0" w:type="auto"/>
        <w:tblLook w:val="04A0" w:firstRow="1" w:lastRow="0" w:firstColumn="1" w:lastColumn="0" w:noHBand="0" w:noVBand="1"/>
      </w:tblPr>
      <w:tblGrid>
        <w:gridCol w:w="2627"/>
        <w:gridCol w:w="917"/>
        <w:gridCol w:w="875"/>
        <w:gridCol w:w="792"/>
        <w:gridCol w:w="873"/>
        <w:gridCol w:w="873"/>
        <w:gridCol w:w="873"/>
        <w:gridCol w:w="873"/>
        <w:gridCol w:w="873"/>
      </w:tblGrid>
      <w:tr w:rsidR="001D7976" w:rsidRPr="000D3878" w14:paraId="727CB51D" w14:textId="77777777" w:rsidTr="001D7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8" w:type="dxa"/>
            <w:noWrap/>
            <w:hideMark/>
          </w:tcPr>
          <w:p w14:paraId="333E030A" w14:textId="77777777" w:rsidR="005C25CB" w:rsidRPr="00BC678C" w:rsidRDefault="005C25CB" w:rsidP="00DD7585">
            <w:pPr>
              <w:rPr>
                <w:sz w:val="20"/>
              </w:rPr>
            </w:pPr>
          </w:p>
        </w:tc>
        <w:tc>
          <w:tcPr>
            <w:tcW w:w="917" w:type="dxa"/>
            <w:tcBorders>
              <w:bottom w:val="single" w:sz="4" w:space="0" w:color="auto"/>
            </w:tcBorders>
            <w:noWrap/>
            <w:hideMark/>
          </w:tcPr>
          <w:p w14:paraId="6D076827"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1000</w:t>
            </w:r>
          </w:p>
        </w:tc>
        <w:tc>
          <w:tcPr>
            <w:tcW w:w="875" w:type="dxa"/>
            <w:tcBorders>
              <w:bottom w:val="single" w:sz="4" w:space="0" w:color="auto"/>
            </w:tcBorders>
            <w:noWrap/>
            <w:hideMark/>
          </w:tcPr>
          <w:p w14:paraId="503391FC"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2000</w:t>
            </w:r>
          </w:p>
        </w:tc>
        <w:tc>
          <w:tcPr>
            <w:tcW w:w="791" w:type="dxa"/>
            <w:tcBorders>
              <w:bottom w:val="single" w:sz="4" w:space="0" w:color="auto"/>
            </w:tcBorders>
            <w:noWrap/>
            <w:hideMark/>
          </w:tcPr>
          <w:p w14:paraId="65744716"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3000</w:t>
            </w:r>
          </w:p>
        </w:tc>
        <w:tc>
          <w:tcPr>
            <w:tcW w:w="873" w:type="dxa"/>
            <w:tcBorders>
              <w:bottom w:val="single" w:sz="4" w:space="0" w:color="auto"/>
            </w:tcBorders>
            <w:noWrap/>
            <w:hideMark/>
          </w:tcPr>
          <w:p w14:paraId="38D80F54"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4000</w:t>
            </w:r>
          </w:p>
        </w:tc>
        <w:tc>
          <w:tcPr>
            <w:tcW w:w="873" w:type="dxa"/>
            <w:tcBorders>
              <w:bottom w:val="single" w:sz="4" w:space="0" w:color="auto"/>
            </w:tcBorders>
            <w:noWrap/>
            <w:hideMark/>
          </w:tcPr>
          <w:p w14:paraId="53D0D86A"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5000</w:t>
            </w:r>
          </w:p>
        </w:tc>
        <w:tc>
          <w:tcPr>
            <w:tcW w:w="873" w:type="dxa"/>
            <w:tcBorders>
              <w:bottom w:val="single" w:sz="4" w:space="0" w:color="auto"/>
            </w:tcBorders>
            <w:noWrap/>
            <w:hideMark/>
          </w:tcPr>
          <w:p w14:paraId="0E0B3E9E"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6000</w:t>
            </w:r>
          </w:p>
        </w:tc>
        <w:tc>
          <w:tcPr>
            <w:tcW w:w="873" w:type="dxa"/>
            <w:tcBorders>
              <w:bottom w:val="single" w:sz="4" w:space="0" w:color="auto"/>
            </w:tcBorders>
            <w:noWrap/>
            <w:hideMark/>
          </w:tcPr>
          <w:p w14:paraId="606DDA49"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7000</w:t>
            </w:r>
          </w:p>
        </w:tc>
        <w:tc>
          <w:tcPr>
            <w:tcW w:w="873" w:type="dxa"/>
            <w:tcBorders>
              <w:bottom w:val="single" w:sz="4" w:space="0" w:color="auto"/>
            </w:tcBorders>
            <w:noWrap/>
            <w:hideMark/>
          </w:tcPr>
          <w:p w14:paraId="715C06C5" w14:textId="77777777" w:rsidR="005C25CB" w:rsidRPr="00BC678C"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rPr>
            </w:pPr>
            <w:r>
              <w:rPr>
                <w:sz w:val="20"/>
              </w:rPr>
              <w:t>8000</w:t>
            </w:r>
          </w:p>
        </w:tc>
      </w:tr>
      <w:tr w:rsidR="001D7976" w:rsidRPr="000D3878" w14:paraId="36D5E91F" w14:textId="77777777" w:rsidTr="001D7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8" w:type="dxa"/>
            <w:noWrap/>
            <w:hideMark/>
          </w:tcPr>
          <w:p w14:paraId="353D1BFC" w14:textId="77777777" w:rsidR="00B22526" w:rsidRPr="00BC678C" w:rsidRDefault="00B22526" w:rsidP="005C25CB">
            <w:pPr>
              <w:rPr>
                <w:sz w:val="20"/>
              </w:rPr>
            </w:pPr>
            <w:r>
              <w:rPr>
                <w:sz w:val="20"/>
              </w:rPr>
              <w:t xml:space="preserve">Cumulative </w:t>
            </w:r>
            <w:r w:rsidRPr="00BC678C">
              <w:rPr>
                <w:sz w:val="20"/>
              </w:rPr>
              <w:t>PV (2020</w:t>
            </w:r>
            <w:r>
              <w:rPr>
                <w:sz w:val="20"/>
              </w:rPr>
              <w:t xml:space="preserve"> M</w:t>
            </w:r>
            <w:r w:rsidRPr="00BC678C">
              <w:rPr>
                <w:sz w:val="20"/>
              </w:rPr>
              <w:t>$)</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04677588" w14:textId="52464643" w:rsidR="00B22526" w:rsidRPr="0098248F"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5" w:type="dxa"/>
            <w:tcBorders>
              <w:top w:val="single" w:sz="4" w:space="0" w:color="auto"/>
              <w:left w:val="single" w:sz="4" w:space="0" w:color="auto"/>
              <w:bottom w:val="single" w:sz="4" w:space="0" w:color="auto"/>
              <w:right w:val="single" w:sz="4" w:space="0" w:color="auto"/>
            </w:tcBorders>
            <w:noWrap/>
            <w:vAlign w:val="center"/>
            <w:hideMark/>
          </w:tcPr>
          <w:p w14:paraId="101493DD" w14:textId="6D0265CF"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791" w:type="dxa"/>
            <w:tcBorders>
              <w:top w:val="single" w:sz="4" w:space="0" w:color="auto"/>
              <w:left w:val="single" w:sz="4" w:space="0" w:color="auto"/>
              <w:bottom w:val="single" w:sz="4" w:space="0" w:color="auto"/>
              <w:right w:val="single" w:sz="4" w:space="0" w:color="auto"/>
            </w:tcBorders>
            <w:noWrap/>
            <w:vAlign w:val="center"/>
            <w:hideMark/>
          </w:tcPr>
          <w:p w14:paraId="00793445" w14:textId="10089E81"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44D6EA45" w14:textId="35B56859"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03E6438B" w14:textId="03A652EF"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33B9EEB5" w14:textId="1EC84B15"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7F076CF8" w14:textId="04F51736"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5AEC506A" w14:textId="49881708" w:rsidR="00B22526" w:rsidRPr="0098248F"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6401A9">
              <w:rPr>
                <w:b/>
                <w:sz w:val="13"/>
                <w:szCs w:val="13"/>
              </w:rPr>
              <w:t>REDACTED</w:t>
            </w:r>
          </w:p>
        </w:tc>
      </w:tr>
      <w:tr w:rsidR="001D7976" w:rsidRPr="000D3878" w14:paraId="5B3132F9" w14:textId="77777777" w:rsidTr="001D7976">
        <w:trPr>
          <w:trHeight w:val="300"/>
        </w:trPr>
        <w:tc>
          <w:tcPr>
            <w:cnfStyle w:val="001000000000" w:firstRow="0" w:lastRow="0" w:firstColumn="1" w:lastColumn="0" w:oddVBand="0" w:evenVBand="0" w:oddHBand="0" w:evenHBand="0" w:firstRowFirstColumn="0" w:firstRowLastColumn="0" w:lastRowFirstColumn="0" w:lastRowLastColumn="0"/>
            <w:tcW w:w="2628" w:type="dxa"/>
            <w:noWrap/>
            <w:hideMark/>
          </w:tcPr>
          <w:p w14:paraId="475D1258" w14:textId="77777777" w:rsidR="00B22526" w:rsidRPr="00BC678C" w:rsidRDefault="00B22526">
            <w:pPr>
              <w:rPr>
                <w:sz w:val="20"/>
              </w:rPr>
            </w:pPr>
            <w:r w:rsidRPr="00BC678C">
              <w:rPr>
                <w:sz w:val="20"/>
              </w:rPr>
              <w:t xml:space="preserve">Incremental PV (2020 </w:t>
            </w:r>
            <w:r>
              <w:rPr>
                <w:sz w:val="20"/>
              </w:rPr>
              <w:t>M</w:t>
            </w:r>
            <w:r w:rsidRPr="00BC678C">
              <w:rPr>
                <w:sz w:val="20"/>
              </w:rPr>
              <w:t>$)</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589589C4" w14:textId="04E87264" w:rsidR="00B22526" w:rsidRPr="0098248F"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5" w:type="dxa"/>
            <w:tcBorders>
              <w:top w:val="single" w:sz="4" w:space="0" w:color="auto"/>
              <w:left w:val="single" w:sz="4" w:space="0" w:color="auto"/>
              <w:bottom w:val="single" w:sz="4" w:space="0" w:color="auto"/>
              <w:right w:val="single" w:sz="4" w:space="0" w:color="auto"/>
            </w:tcBorders>
            <w:noWrap/>
            <w:vAlign w:val="center"/>
            <w:hideMark/>
          </w:tcPr>
          <w:p w14:paraId="7BD30F33" w14:textId="647909B1"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791" w:type="dxa"/>
            <w:tcBorders>
              <w:top w:val="single" w:sz="4" w:space="0" w:color="auto"/>
              <w:left w:val="single" w:sz="4" w:space="0" w:color="auto"/>
              <w:bottom w:val="single" w:sz="4" w:space="0" w:color="auto"/>
              <w:right w:val="single" w:sz="4" w:space="0" w:color="auto"/>
            </w:tcBorders>
            <w:noWrap/>
            <w:vAlign w:val="center"/>
            <w:hideMark/>
          </w:tcPr>
          <w:p w14:paraId="6AFB000D" w14:textId="1275C151"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3A3DDB8C" w14:textId="4A85F720"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721C6831" w14:textId="10665108"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46D613F1" w14:textId="403F618B"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1DC7CCDC" w14:textId="5A8DEFD4"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c>
          <w:tcPr>
            <w:tcW w:w="873" w:type="dxa"/>
            <w:tcBorders>
              <w:top w:val="single" w:sz="4" w:space="0" w:color="auto"/>
              <w:left w:val="single" w:sz="4" w:space="0" w:color="auto"/>
              <w:bottom w:val="single" w:sz="4" w:space="0" w:color="auto"/>
              <w:right w:val="single" w:sz="4" w:space="0" w:color="auto"/>
            </w:tcBorders>
            <w:noWrap/>
            <w:vAlign w:val="center"/>
            <w:hideMark/>
          </w:tcPr>
          <w:p w14:paraId="150AD244" w14:textId="12368C28" w:rsidR="00B22526" w:rsidRPr="0098248F"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6401A9">
              <w:rPr>
                <w:b/>
                <w:sz w:val="13"/>
                <w:szCs w:val="13"/>
              </w:rPr>
              <w:t>REDACTED</w:t>
            </w:r>
          </w:p>
        </w:tc>
      </w:tr>
    </w:tbl>
    <w:p w14:paraId="2722B468" w14:textId="77777777" w:rsidR="009D0009" w:rsidRDefault="009D0009" w:rsidP="009D0009">
      <w:pPr>
        <w:rPr>
          <w:b/>
        </w:rPr>
      </w:pPr>
      <w:r>
        <w:t>Positive values represent benefits in the cost benefit determination.</w:t>
      </w:r>
    </w:p>
    <w:p w14:paraId="2A763DFF" w14:textId="29DEBF16" w:rsidR="00553A6B" w:rsidRDefault="00553A6B" w:rsidP="00BC678C">
      <w:pPr>
        <w:ind w:firstLine="720"/>
      </w:pPr>
      <w:r>
        <w:t xml:space="preserve">Because the </w:t>
      </w:r>
      <w:r w:rsidR="005A01DA">
        <w:t xml:space="preserve">deferred </w:t>
      </w:r>
      <w:r>
        <w:t xml:space="preserve">transmission analysis was performed on a 20-year basis and the remainder of the solar cost benefit analysis was performed on a levelized 30-year basis, the transmission </w:t>
      </w:r>
      <w:r w:rsidR="005A01DA">
        <w:t xml:space="preserve">deferred </w:t>
      </w:r>
      <w:r>
        <w:t xml:space="preserve">cost values </w:t>
      </w:r>
      <w:r w:rsidR="005A01DA">
        <w:t xml:space="preserve">were </w:t>
      </w:r>
      <w:r>
        <w:t>converted to a 30-year basis for consistency.  This conversion was accomplished by converting the results of the 20-year analysis into an ECC.  The ECC value</w:t>
      </w:r>
      <w:r w:rsidR="00103E7B">
        <w:t>s</w:t>
      </w:r>
      <w:r>
        <w:t xml:space="preserve"> </w:t>
      </w:r>
      <w:r w:rsidR="00103E7B">
        <w:t xml:space="preserve">were </w:t>
      </w:r>
      <w:r>
        <w:t xml:space="preserve">then </w:t>
      </w:r>
      <w:r w:rsidR="005A01DA">
        <w:t xml:space="preserve">escalated </w:t>
      </w:r>
      <w:r>
        <w:t xml:space="preserve">at </w:t>
      </w:r>
      <w:r w:rsidR="00301D1D">
        <w:t>an</w:t>
      </w:r>
      <w:r>
        <w:t xml:space="preserve"> inflation rate</w:t>
      </w:r>
      <w:r w:rsidR="00301D1D">
        <w:t xml:space="preserve"> of </w:t>
      </w:r>
      <w:r w:rsidR="00103E7B">
        <w:t>2.0</w:t>
      </w:r>
      <w:r w:rsidR="00301D1D">
        <w:t>%</w:t>
      </w:r>
      <w:r>
        <w:t xml:space="preserve"> for 30</w:t>
      </w:r>
      <w:r w:rsidR="00193E93">
        <w:t xml:space="preserve"> </w:t>
      </w:r>
      <w:r>
        <w:t>years and its 30-year equivalent NPV was calculated</w:t>
      </w:r>
      <w:r w:rsidR="00E67D4D">
        <w:t xml:space="preserve"> and also converted from 2020$ to 2015$</w:t>
      </w:r>
      <w:r>
        <w:t>.</w:t>
      </w:r>
      <w:r w:rsidR="005A01DA">
        <w:t xml:space="preserve"> </w:t>
      </w:r>
      <w:r>
        <w:t xml:space="preserve"> The results of this conversion are shown below in Table </w:t>
      </w:r>
      <w:r w:rsidR="00E02BB5">
        <w:t>13</w:t>
      </w:r>
      <w:r>
        <w:t>.</w:t>
      </w:r>
    </w:p>
    <w:p w14:paraId="15351F7B" w14:textId="77777777" w:rsidR="00AA695D" w:rsidRDefault="00AA695D" w:rsidP="00BC678C">
      <w:pPr>
        <w:ind w:firstLine="720"/>
      </w:pPr>
    </w:p>
    <w:p w14:paraId="32055BDF" w14:textId="62E44137" w:rsidR="00553A6B" w:rsidRPr="00BC678C" w:rsidRDefault="00553A6B" w:rsidP="00BC678C">
      <w:pPr>
        <w:rPr>
          <w:b/>
        </w:rPr>
      </w:pPr>
      <w:r w:rsidRPr="00BC678C">
        <w:rPr>
          <w:b/>
        </w:rPr>
        <w:t xml:space="preserve">Table </w:t>
      </w:r>
      <w:r w:rsidR="00E02BB5" w:rsidRPr="00BC678C">
        <w:rPr>
          <w:b/>
        </w:rPr>
        <w:t>1</w:t>
      </w:r>
      <w:r w:rsidR="00E02BB5">
        <w:rPr>
          <w:b/>
        </w:rPr>
        <w:t>3</w:t>
      </w:r>
      <w:r w:rsidR="005A01DA">
        <w:rPr>
          <w:b/>
        </w:rPr>
        <w:t>:</w:t>
      </w:r>
      <w:r w:rsidR="005A01DA" w:rsidRPr="00BC678C">
        <w:rPr>
          <w:b/>
        </w:rPr>
        <w:t xml:space="preserve">  </w:t>
      </w:r>
      <w:r w:rsidRPr="00BC678C">
        <w:rPr>
          <w:b/>
        </w:rPr>
        <w:t xml:space="preserve">30-Year Equivalent </w:t>
      </w:r>
      <w:r w:rsidR="005A01DA">
        <w:rPr>
          <w:b/>
        </w:rPr>
        <w:t>Deferred</w:t>
      </w:r>
      <w:r w:rsidR="005A01DA" w:rsidRPr="00BC678C">
        <w:rPr>
          <w:b/>
        </w:rPr>
        <w:t xml:space="preserve"> </w:t>
      </w:r>
      <w:r w:rsidRPr="00BC678C">
        <w:rPr>
          <w:b/>
        </w:rPr>
        <w:t xml:space="preserve">Transmission </w:t>
      </w:r>
      <w:r w:rsidR="00A33C5A">
        <w:rPr>
          <w:b/>
        </w:rPr>
        <w:t xml:space="preserve">Investment </w:t>
      </w:r>
      <w:r w:rsidRPr="00BC678C">
        <w:rPr>
          <w:b/>
        </w:rPr>
        <w:t>Cost</w:t>
      </w:r>
    </w:p>
    <w:tbl>
      <w:tblPr>
        <w:tblStyle w:val="LightList-Accent1"/>
        <w:tblW w:w="9648" w:type="dxa"/>
        <w:tblLook w:val="04A0" w:firstRow="1" w:lastRow="0" w:firstColumn="1" w:lastColumn="0" w:noHBand="0" w:noVBand="1"/>
      </w:tblPr>
      <w:tblGrid>
        <w:gridCol w:w="2525"/>
        <w:gridCol w:w="808"/>
        <w:gridCol w:w="792"/>
        <w:gridCol w:w="909"/>
        <w:gridCol w:w="909"/>
        <w:gridCol w:w="909"/>
        <w:gridCol w:w="909"/>
        <w:gridCol w:w="909"/>
        <w:gridCol w:w="981"/>
      </w:tblGrid>
      <w:tr w:rsidR="005C25CB" w:rsidRPr="000D3878" w14:paraId="625896E4" w14:textId="77777777" w:rsidTr="001D7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5" w:type="dxa"/>
            <w:noWrap/>
            <w:hideMark/>
          </w:tcPr>
          <w:p w14:paraId="12A2379B" w14:textId="77777777" w:rsidR="005C25CB" w:rsidRPr="000D3878" w:rsidRDefault="005C25CB" w:rsidP="00DD7585">
            <w:pPr>
              <w:rPr>
                <w:sz w:val="20"/>
              </w:rPr>
            </w:pPr>
          </w:p>
        </w:tc>
        <w:tc>
          <w:tcPr>
            <w:tcW w:w="808" w:type="dxa"/>
            <w:tcBorders>
              <w:bottom w:val="single" w:sz="4" w:space="0" w:color="auto"/>
            </w:tcBorders>
            <w:noWrap/>
            <w:hideMark/>
          </w:tcPr>
          <w:p w14:paraId="743BF49F"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1000</w:t>
            </w:r>
          </w:p>
        </w:tc>
        <w:tc>
          <w:tcPr>
            <w:tcW w:w="789" w:type="dxa"/>
            <w:tcBorders>
              <w:bottom w:val="single" w:sz="4" w:space="0" w:color="auto"/>
            </w:tcBorders>
            <w:noWrap/>
            <w:hideMark/>
          </w:tcPr>
          <w:p w14:paraId="3B246442"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2000</w:t>
            </w:r>
          </w:p>
        </w:tc>
        <w:tc>
          <w:tcPr>
            <w:tcW w:w="909" w:type="dxa"/>
            <w:tcBorders>
              <w:bottom w:val="single" w:sz="4" w:space="0" w:color="auto"/>
            </w:tcBorders>
            <w:noWrap/>
            <w:hideMark/>
          </w:tcPr>
          <w:p w14:paraId="7E271269"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3000</w:t>
            </w:r>
          </w:p>
        </w:tc>
        <w:tc>
          <w:tcPr>
            <w:tcW w:w="909" w:type="dxa"/>
            <w:tcBorders>
              <w:bottom w:val="single" w:sz="4" w:space="0" w:color="auto"/>
            </w:tcBorders>
            <w:noWrap/>
            <w:hideMark/>
          </w:tcPr>
          <w:p w14:paraId="3BFA4F90"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4000</w:t>
            </w:r>
          </w:p>
        </w:tc>
        <w:tc>
          <w:tcPr>
            <w:tcW w:w="909" w:type="dxa"/>
            <w:tcBorders>
              <w:bottom w:val="single" w:sz="4" w:space="0" w:color="auto"/>
            </w:tcBorders>
            <w:noWrap/>
            <w:hideMark/>
          </w:tcPr>
          <w:p w14:paraId="0CCB261A"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5000</w:t>
            </w:r>
          </w:p>
        </w:tc>
        <w:tc>
          <w:tcPr>
            <w:tcW w:w="909" w:type="dxa"/>
            <w:tcBorders>
              <w:bottom w:val="single" w:sz="4" w:space="0" w:color="auto"/>
            </w:tcBorders>
            <w:noWrap/>
            <w:hideMark/>
          </w:tcPr>
          <w:p w14:paraId="68815E4D"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6000</w:t>
            </w:r>
          </w:p>
        </w:tc>
        <w:tc>
          <w:tcPr>
            <w:tcW w:w="909" w:type="dxa"/>
            <w:tcBorders>
              <w:bottom w:val="single" w:sz="4" w:space="0" w:color="auto"/>
            </w:tcBorders>
            <w:noWrap/>
            <w:hideMark/>
          </w:tcPr>
          <w:p w14:paraId="460BAC47"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7000</w:t>
            </w:r>
          </w:p>
        </w:tc>
        <w:tc>
          <w:tcPr>
            <w:tcW w:w="981" w:type="dxa"/>
            <w:tcBorders>
              <w:bottom w:val="single" w:sz="4" w:space="0" w:color="auto"/>
            </w:tcBorders>
            <w:noWrap/>
            <w:hideMark/>
          </w:tcPr>
          <w:p w14:paraId="48DD06BF" w14:textId="77777777" w:rsidR="005C25CB" w:rsidRPr="000D3878" w:rsidRDefault="00E74B4B" w:rsidP="00DD75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8000</w:t>
            </w:r>
          </w:p>
        </w:tc>
      </w:tr>
      <w:tr w:rsidR="00B22526" w:rsidRPr="000D3878" w14:paraId="7E96915C" w14:textId="77777777" w:rsidTr="001D7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5" w:type="dxa"/>
            <w:tcBorders>
              <w:right w:val="single" w:sz="4" w:space="0" w:color="auto"/>
            </w:tcBorders>
            <w:noWrap/>
            <w:hideMark/>
          </w:tcPr>
          <w:p w14:paraId="7BA189EF" w14:textId="77777777" w:rsidR="00B22526" w:rsidRPr="000D3878" w:rsidRDefault="00B22526">
            <w:pPr>
              <w:rPr>
                <w:sz w:val="20"/>
              </w:rPr>
            </w:pPr>
            <w:r w:rsidRPr="000D3878">
              <w:rPr>
                <w:sz w:val="20"/>
              </w:rPr>
              <w:t>Incremental PV (20</w:t>
            </w:r>
            <w:r>
              <w:rPr>
                <w:sz w:val="20"/>
              </w:rPr>
              <w:t>15</w:t>
            </w:r>
            <w:r w:rsidRPr="000D3878">
              <w:rPr>
                <w:sz w:val="20"/>
              </w:rPr>
              <w:t xml:space="preserve"> </w:t>
            </w:r>
            <w:r>
              <w:rPr>
                <w:sz w:val="20"/>
              </w:rPr>
              <w:t>M</w:t>
            </w:r>
            <w:r w:rsidRPr="000D3878">
              <w:rPr>
                <w:sz w:val="20"/>
              </w:rPr>
              <w:t>$)</w:t>
            </w:r>
          </w:p>
        </w:tc>
        <w:tc>
          <w:tcPr>
            <w:tcW w:w="808" w:type="dxa"/>
            <w:tcBorders>
              <w:top w:val="single" w:sz="4" w:space="0" w:color="auto"/>
              <w:left w:val="single" w:sz="4" w:space="0" w:color="auto"/>
              <w:bottom w:val="single" w:sz="4" w:space="0" w:color="auto"/>
              <w:right w:val="single" w:sz="4" w:space="0" w:color="auto"/>
            </w:tcBorders>
            <w:noWrap/>
            <w:vAlign w:val="center"/>
            <w:hideMark/>
          </w:tcPr>
          <w:p w14:paraId="7F357F3F" w14:textId="51ABA2D6"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425F839B" w14:textId="4092D07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6548A48D" w14:textId="5B53840C"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2EDDADDC" w14:textId="2DFDAA0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09639556" w14:textId="776FECE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4C64B180" w14:textId="1BE08CD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4DFA4A40" w14:textId="1088316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15FF4F6C" w14:textId="53DB3A3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10065E">
              <w:rPr>
                <w:b/>
                <w:sz w:val="13"/>
                <w:szCs w:val="13"/>
              </w:rPr>
              <w:t>REDACTED</w:t>
            </w:r>
          </w:p>
        </w:tc>
      </w:tr>
    </w:tbl>
    <w:p w14:paraId="74B6E2AB" w14:textId="77777777" w:rsidR="009D0009" w:rsidRDefault="009D0009" w:rsidP="009D0009">
      <w:pPr>
        <w:rPr>
          <w:b/>
        </w:rPr>
      </w:pPr>
      <w:r>
        <w:t>Positive values represent benefits in the cost benefit determination.</w:t>
      </w:r>
    </w:p>
    <w:p w14:paraId="2B6D791E" w14:textId="77777777" w:rsidR="00E67D4D" w:rsidRDefault="00E67D4D" w:rsidP="00BC678C">
      <w:pPr>
        <w:ind w:firstLine="720"/>
      </w:pPr>
      <w:r>
        <w:t xml:space="preserve">Finally, </w:t>
      </w:r>
      <w:r w:rsidR="00103E7B">
        <w:t>these values</w:t>
      </w:r>
      <w:r w:rsidR="00563362">
        <w:t xml:space="preserve"> </w:t>
      </w:r>
      <w:r>
        <w:t xml:space="preserve">were levelized consistent with the other </w:t>
      </w:r>
      <w:r w:rsidR="00103E7B">
        <w:t xml:space="preserve">cost-benefit </w:t>
      </w:r>
      <w:r>
        <w:t xml:space="preserve">components.  Table </w:t>
      </w:r>
      <w:r w:rsidR="00E02BB5">
        <w:t xml:space="preserve">14 </w:t>
      </w:r>
      <w:r>
        <w:t>below shows these results.</w:t>
      </w:r>
      <w:r w:rsidR="002C6298">
        <w:rPr>
          <w:rStyle w:val="FootnoteReference"/>
        </w:rPr>
        <w:footnoteReference w:id="10"/>
      </w:r>
    </w:p>
    <w:p w14:paraId="4EDA71AE" w14:textId="77777777" w:rsidR="00E02BB5" w:rsidRDefault="00E02BB5" w:rsidP="00BC678C">
      <w:pPr>
        <w:ind w:firstLine="720"/>
      </w:pPr>
    </w:p>
    <w:p w14:paraId="3A91492A" w14:textId="3EDD86A5" w:rsidR="00E67D4D" w:rsidRDefault="00E67D4D" w:rsidP="00E67D4D">
      <w:pPr>
        <w:spacing w:line="240" w:lineRule="auto"/>
        <w:rPr>
          <w:b/>
        </w:rPr>
      </w:pPr>
      <w:r>
        <w:rPr>
          <w:b/>
        </w:rPr>
        <w:t xml:space="preserve">Table </w:t>
      </w:r>
      <w:r w:rsidR="00E02BB5">
        <w:rPr>
          <w:b/>
        </w:rPr>
        <w:t>14</w:t>
      </w:r>
      <w:r w:rsidR="005A01DA">
        <w:rPr>
          <w:b/>
        </w:rPr>
        <w:t xml:space="preserve">: </w:t>
      </w:r>
      <w:r>
        <w:rPr>
          <w:b/>
        </w:rPr>
        <w:t xml:space="preserve">Levelized Deferred Transmission </w:t>
      </w:r>
      <w:r w:rsidR="00A33C5A">
        <w:rPr>
          <w:b/>
        </w:rPr>
        <w:t xml:space="preserve">Investment </w:t>
      </w:r>
      <w:r>
        <w:rPr>
          <w:b/>
        </w:rPr>
        <w:t>Costs ($/MWH)</w:t>
      </w:r>
    </w:p>
    <w:tbl>
      <w:tblPr>
        <w:tblStyle w:val="LightList-Accent1"/>
        <w:tblW w:w="0" w:type="auto"/>
        <w:tblLook w:val="04A0" w:firstRow="1" w:lastRow="0" w:firstColumn="1" w:lastColumn="0" w:noHBand="0" w:noVBand="1"/>
      </w:tblPr>
      <w:tblGrid>
        <w:gridCol w:w="2808"/>
        <w:gridCol w:w="900"/>
        <w:gridCol w:w="900"/>
        <w:gridCol w:w="810"/>
        <w:gridCol w:w="810"/>
        <w:gridCol w:w="810"/>
        <w:gridCol w:w="900"/>
        <w:gridCol w:w="810"/>
        <w:gridCol w:w="828"/>
      </w:tblGrid>
      <w:tr w:rsidR="005D5590" w:rsidRPr="00B24877" w14:paraId="134C184A" w14:textId="77777777" w:rsidTr="005D55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8" w:type="dxa"/>
            <w:noWrap/>
            <w:hideMark/>
          </w:tcPr>
          <w:p w14:paraId="72B0AE84" w14:textId="77777777" w:rsidR="00450820" w:rsidRPr="00B24877" w:rsidRDefault="00450820" w:rsidP="00DD7585">
            <w:pPr>
              <w:rPr>
                <w:sz w:val="18"/>
              </w:rPr>
            </w:pPr>
          </w:p>
        </w:tc>
        <w:tc>
          <w:tcPr>
            <w:tcW w:w="900" w:type="dxa"/>
            <w:tcBorders>
              <w:bottom w:val="single" w:sz="4" w:space="0" w:color="auto"/>
            </w:tcBorders>
            <w:noWrap/>
            <w:hideMark/>
          </w:tcPr>
          <w:p w14:paraId="7F23EB1F"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1000</w:t>
            </w:r>
          </w:p>
        </w:tc>
        <w:tc>
          <w:tcPr>
            <w:tcW w:w="900" w:type="dxa"/>
            <w:tcBorders>
              <w:bottom w:val="single" w:sz="4" w:space="0" w:color="auto"/>
            </w:tcBorders>
            <w:noWrap/>
            <w:hideMark/>
          </w:tcPr>
          <w:p w14:paraId="1FFFF721"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2000</w:t>
            </w:r>
          </w:p>
        </w:tc>
        <w:tc>
          <w:tcPr>
            <w:tcW w:w="810" w:type="dxa"/>
            <w:tcBorders>
              <w:bottom w:val="single" w:sz="4" w:space="0" w:color="auto"/>
            </w:tcBorders>
            <w:noWrap/>
            <w:hideMark/>
          </w:tcPr>
          <w:p w14:paraId="39B871FF"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3000</w:t>
            </w:r>
          </w:p>
        </w:tc>
        <w:tc>
          <w:tcPr>
            <w:tcW w:w="810" w:type="dxa"/>
            <w:tcBorders>
              <w:bottom w:val="single" w:sz="4" w:space="0" w:color="auto"/>
            </w:tcBorders>
            <w:noWrap/>
            <w:hideMark/>
          </w:tcPr>
          <w:p w14:paraId="73FA28A3"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4000</w:t>
            </w:r>
          </w:p>
        </w:tc>
        <w:tc>
          <w:tcPr>
            <w:tcW w:w="810" w:type="dxa"/>
            <w:tcBorders>
              <w:bottom w:val="single" w:sz="4" w:space="0" w:color="auto"/>
            </w:tcBorders>
            <w:noWrap/>
            <w:hideMark/>
          </w:tcPr>
          <w:p w14:paraId="5EF5EFB9"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5000</w:t>
            </w:r>
          </w:p>
        </w:tc>
        <w:tc>
          <w:tcPr>
            <w:tcW w:w="900" w:type="dxa"/>
            <w:tcBorders>
              <w:bottom w:val="single" w:sz="4" w:space="0" w:color="auto"/>
            </w:tcBorders>
            <w:noWrap/>
            <w:hideMark/>
          </w:tcPr>
          <w:p w14:paraId="1BFA6573"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6000</w:t>
            </w:r>
          </w:p>
        </w:tc>
        <w:tc>
          <w:tcPr>
            <w:tcW w:w="810" w:type="dxa"/>
            <w:tcBorders>
              <w:bottom w:val="single" w:sz="4" w:space="0" w:color="auto"/>
            </w:tcBorders>
            <w:noWrap/>
            <w:hideMark/>
          </w:tcPr>
          <w:p w14:paraId="7012AD10"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7000</w:t>
            </w:r>
          </w:p>
        </w:tc>
        <w:tc>
          <w:tcPr>
            <w:tcW w:w="828" w:type="dxa"/>
            <w:tcBorders>
              <w:bottom w:val="single" w:sz="4" w:space="0" w:color="auto"/>
            </w:tcBorders>
            <w:noWrap/>
            <w:hideMark/>
          </w:tcPr>
          <w:p w14:paraId="1786392C" w14:textId="77777777" w:rsidR="00450820" w:rsidRPr="00B24877" w:rsidRDefault="00450820" w:rsidP="00BC678C">
            <w:pPr>
              <w:jc w:val="center"/>
              <w:cnfStyle w:val="100000000000" w:firstRow="1" w:lastRow="0" w:firstColumn="0" w:lastColumn="0" w:oddVBand="0" w:evenVBand="0" w:oddHBand="0" w:evenHBand="0" w:firstRowFirstColumn="0" w:firstRowLastColumn="0" w:lastRowFirstColumn="0" w:lastRowLastColumn="0"/>
              <w:rPr>
                <w:sz w:val="18"/>
              </w:rPr>
            </w:pPr>
            <w:r>
              <w:rPr>
                <w:sz w:val="20"/>
              </w:rPr>
              <w:t>8000</w:t>
            </w:r>
          </w:p>
        </w:tc>
      </w:tr>
      <w:tr w:rsidR="00B22526" w:rsidRPr="00B24877" w14:paraId="3D180D30"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8" w:type="dxa"/>
            <w:tcBorders>
              <w:right w:val="single" w:sz="4" w:space="0" w:color="auto"/>
            </w:tcBorders>
            <w:noWrap/>
            <w:hideMark/>
          </w:tcPr>
          <w:p w14:paraId="694C9769" w14:textId="77777777" w:rsidR="00B22526" w:rsidRPr="005D5590" w:rsidRDefault="00B22526" w:rsidP="00DD7585">
            <w:pPr>
              <w:rPr>
                <w:sz w:val="20"/>
                <w:szCs w:val="20"/>
              </w:rPr>
            </w:pPr>
            <w:r w:rsidRPr="005D5590">
              <w:rPr>
                <w:sz w:val="20"/>
                <w:szCs w:val="20"/>
              </w:rPr>
              <w:t>Deferred Transmission Costs</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A5990C1" w14:textId="1C544F7B" w:rsidR="00B22526" w:rsidRPr="00A33C5A" w:rsidRDefault="00B22526" w:rsidP="00B22526">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9130E63" w14:textId="6979E7D0"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0B1BB061" w14:textId="04BF175E"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404A267F" w14:textId="31F02DD7"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77B3A4E2" w14:textId="661B6FE3"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1C96EA2" w14:textId="45A04F0D"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67A61258" w14:textId="32057BAB"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c>
          <w:tcPr>
            <w:tcW w:w="828" w:type="dxa"/>
            <w:tcBorders>
              <w:top w:val="single" w:sz="4" w:space="0" w:color="auto"/>
              <w:left w:val="single" w:sz="4" w:space="0" w:color="auto"/>
              <w:bottom w:val="single" w:sz="4" w:space="0" w:color="auto"/>
              <w:right w:val="single" w:sz="4" w:space="0" w:color="auto"/>
            </w:tcBorders>
            <w:noWrap/>
            <w:vAlign w:val="center"/>
            <w:hideMark/>
          </w:tcPr>
          <w:p w14:paraId="691A9D79" w14:textId="17660FB6"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highlight w:val="yellow"/>
              </w:rPr>
            </w:pPr>
            <w:r w:rsidRPr="009A1975">
              <w:rPr>
                <w:b/>
                <w:sz w:val="13"/>
                <w:szCs w:val="13"/>
              </w:rPr>
              <w:t>REDACTED</w:t>
            </w:r>
          </w:p>
        </w:tc>
      </w:tr>
    </w:tbl>
    <w:p w14:paraId="5EBEC94C" w14:textId="77777777" w:rsidR="00E67D4D" w:rsidRDefault="00E67D4D" w:rsidP="00E67D4D">
      <w:pPr>
        <w:rPr>
          <w:b/>
        </w:rPr>
      </w:pPr>
      <w:r>
        <w:t>Positive values represent benefit</w:t>
      </w:r>
      <w:r w:rsidR="00C25A2F">
        <w:t>s</w:t>
      </w:r>
      <w:r>
        <w:t xml:space="preserve"> in the cost benefit determination.</w:t>
      </w:r>
    </w:p>
    <w:p w14:paraId="583D40CC" w14:textId="77777777" w:rsidR="00CE72F0" w:rsidRDefault="00CE72F0" w:rsidP="00CE72F0">
      <w:pPr>
        <w:spacing w:line="240" w:lineRule="auto"/>
      </w:pPr>
    </w:p>
    <w:p w14:paraId="40EBCA4B" w14:textId="43E169AD" w:rsidR="00CE72F0" w:rsidRPr="001068E1" w:rsidRDefault="00A33C5A" w:rsidP="00CE72F0">
      <w:pPr>
        <w:rPr>
          <w:b/>
        </w:rPr>
      </w:pPr>
      <w:r>
        <w:rPr>
          <w:b/>
        </w:rPr>
        <w:lastRenderedPageBreak/>
        <w:t xml:space="preserve">Reduced </w:t>
      </w:r>
      <w:r w:rsidR="00CE72F0">
        <w:rPr>
          <w:b/>
        </w:rPr>
        <w:t>Distribution Losses</w:t>
      </w:r>
    </w:p>
    <w:p w14:paraId="30BC8693" w14:textId="4BB077E4" w:rsidR="00CE72F0" w:rsidRDefault="006F52BF" w:rsidP="00BC678C">
      <w:pPr>
        <w:ind w:firstLine="720"/>
        <w:rPr>
          <w:i/>
        </w:rPr>
      </w:pPr>
      <w:r>
        <w:t xml:space="preserve">As established in the </w:t>
      </w:r>
      <w:r w:rsidR="0052097F">
        <w:t>Framework</w:t>
      </w:r>
      <w:r>
        <w:t xml:space="preserve">, a system-weighted distribution loss profile was applied to the </w:t>
      </w:r>
      <w:r w:rsidR="00A13F4A">
        <w:t>eight-1000MW</w:t>
      </w:r>
      <w:r w:rsidR="00103E7B">
        <w:t xml:space="preserve"> </w:t>
      </w:r>
      <w:r>
        <w:t>solar tranche profiles and then evaluated against avoided energy costs to determine their distribution loss impact.</w:t>
      </w:r>
      <w:r w:rsidR="002C6298">
        <w:rPr>
          <w:rStyle w:val="FootnoteReference"/>
        </w:rPr>
        <w:footnoteReference w:id="11"/>
      </w:r>
      <w:r>
        <w:t xml:space="preserve">  </w:t>
      </w:r>
      <w:r w:rsidR="00103E7B">
        <w:t xml:space="preserve">Because system avoided costs only include losses down to the transmission substation level, the loss factors for the distributed losses were calculated based on losses from the transmission substation level down to the distribution feeder level.  </w:t>
      </w:r>
      <w:r>
        <w:t xml:space="preserve">Although an 8760-hour loss </w:t>
      </w:r>
      <w:r w:rsidR="00D10B6E">
        <w:t xml:space="preserve">factor </w:t>
      </w:r>
      <w:r>
        <w:t xml:space="preserve">profile was used, the average avoided distribution loss impact associated with the distributed solar across the year was </w:t>
      </w:r>
      <w:r w:rsidR="005267D4">
        <w:rPr>
          <w:b/>
        </w:rPr>
        <w:t>REDACTED</w:t>
      </w:r>
      <w:r>
        <w:t xml:space="preserve"> of the distributed solar profile.  </w:t>
      </w:r>
      <w:r w:rsidR="00DA1167">
        <w:t xml:space="preserve">This 8760 hourly loss factor was applied to the 8760 distributed solar generation profile in each year to calculate an 8760 loss profile for each year.  This loss profile, like the distributed solar generation profile, was then multiplied in each hour by the avoided energy cost to get the avoided distribution losses cost.  </w:t>
      </w:r>
      <w:r>
        <w:t xml:space="preserve">Table </w:t>
      </w:r>
      <w:r w:rsidR="00E02BB5">
        <w:t xml:space="preserve">15 </w:t>
      </w:r>
      <w:r>
        <w:t xml:space="preserve">below shows the levelized </w:t>
      </w:r>
      <w:r w:rsidR="00D10B6E">
        <w:t xml:space="preserve">avoided distribution </w:t>
      </w:r>
      <w:r w:rsidR="004D594F">
        <w:t>losses</w:t>
      </w:r>
      <w:r w:rsidR="00DA1167">
        <w:t xml:space="preserve"> </w:t>
      </w:r>
      <w:r w:rsidR="00D10B6E">
        <w:t xml:space="preserve">cost </w:t>
      </w:r>
      <w:r>
        <w:t>values</w:t>
      </w:r>
      <w:r w:rsidR="00D10B6E">
        <w:t xml:space="preserve"> that resulted from this calculation</w:t>
      </w:r>
      <w:r>
        <w:t>.</w:t>
      </w:r>
    </w:p>
    <w:p w14:paraId="0E215178" w14:textId="77777777" w:rsidR="00CE72F0" w:rsidRDefault="00CE72F0" w:rsidP="00CE72F0">
      <w:pPr>
        <w:spacing w:line="240" w:lineRule="auto"/>
      </w:pPr>
    </w:p>
    <w:p w14:paraId="2F3F2D87" w14:textId="68818F73" w:rsidR="003660CA" w:rsidRPr="00B24877" w:rsidRDefault="003660CA" w:rsidP="003660CA">
      <w:pPr>
        <w:spacing w:line="240" w:lineRule="auto"/>
        <w:rPr>
          <w:b/>
        </w:rPr>
      </w:pPr>
      <w:r w:rsidRPr="00B24877">
        <w:rPr>
          <w:b/>
        </w:rPr>
        <w:t xml:space="preserve">Table </w:t>
      </w:r>
      <w:r w:rsidR="00E02BB5">
        <w:rPr>
          <w:b/>
        </w:rPr>
        <w:t>15</w:t>
      </w:r>
      <w:r w:rsidR="0062301F">
        <w:rPr>
          <w:b/>
        </w:rPr>
        <w:t>:</w:t>
      </w:r>
      <w:r w:rsidR="0062301F" w:rsidRPr="00B24877">
        <w:rPr>
          <w:b/>
        </w:rPr>
        <w:t xml:space="preserve">  </w:t>
      </w:r>
      <w:r>
        <w:rPr>
          <w:b/>
        </w:rPr>
        <w:t>Lev</w:t>
      </w:r>
      <w:r w:rsidR="00747C2F">
        <w:rPr>
          <w:b/>
        </w:rPr>
        <w:t>e</w:t>
      </w:r>
      <w:r>
        <w:rPr>
          <w:b/>
        </w:rPr>
        <w:t xml:space="preserve">lized </w:t>
      </w:r>
      <w:r w:rsidR="00A33C5A">
        <w:rPr>
          <w:b/>
        </w:rPr>
        <w:t>Reduced</w:t>
      </w:r>
      <w:r w:rsidR="00A33C5A" w:rsidRPr="00B24877">
        <w:rPr>
          <w:b/>
        </w:rPr>
        <w:t xml:space="preserve"> </w:t>
      </w:r>
      <w:r>
        <w:rPr>
          <w:b/>
        </w:rPr>
        <w:t>Distribution Losses ($/MWH)</w:t>
      </w:r>
    </w:p>
    <w:tbl>
      <w:tblPr>
        <w:tblStyle w:val="LightList-Accent1"/>
        <w:tblW w:w="0" w:type="auto"/>
        <w:tblLook w:val="04A0" w:firstRow="1" w:lastRow="0" w:firstColumn="1" w:lastColumn="0" w:noHBand="0" w:noVBand="1"/>
      </w:tblPr>
      <w:tblGrid>
        <w:gridCol w:w="2538"/>
        <w:gridCol w:w="810"/>
        <w:gridCol w:w="810"/>
        <w:gridCol w:w="900"/>
        <w:gridCol w:w="900"/>
        <w:gridCol w:w="990"/>
        <w:gridCol w:w="900"/>
        <w:gridCol w:w="900"/>
        <w:gridCol w:w="828"/>
      </w:tblGrid>
      <w:tr w:rsidR="005D5590" w:rsidRPr="00B24877" w14:paraId="5F067F14" w14:textId="77777777" w:rsidTr="005D55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noWrap/>
            <w:hideMark/>
          </w:tcPr>
          <w:p w14:paraId="25C27214" w14:textId="77777777" w:rsidR="00450820" w:rsidRPr="00B24877" w:rsidRDefault="00450820" w:rsidP="00C54423">
            <w:pPr>
              <w:rPr>
                <w:sz w:val="18"/>
              </w:rPr>
            </w:pPr>
          </w:p>
        </w:tc>
        <w:tc>
          <w:tcPr>
            <w:tcW w:w="810" w:type="dxa"/>
            <w:tcBorders>
              <w:bottom w:val="single" w:sz="4" w:space="0" w:color="auto"/>
            </w:tcBorders>
            <w:noWrap/>
            <w:hideMark/>
          </w:tcPr>
          <w:p w14:paraId="2F9F4188"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1000</w:t>
            </w:r>
          </w:p>
        </w:tc>
        <w:tc>
          <w:tcPr>
            <w:tcW w:w="810" w:type="dxa"/>
            <w:tcBorders>
              <w:bottom w:val="single" w:sz="4" w:space="0" w:color="auto"/>
            </w:tcBorders>
            <w:noWrap/>
            <w:hideMark/>
          </w:tcPr>
          <w:p w14:paraId="0BA1D733"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2000</w:t>
            </w:r>
          </w:p>
        </w:tc>
        <w:tc>
          <w:tcPr>
            <w:tcW w:w="900" w:type="dxa"/>
            <w:tcBorders>
              <w:bottom w:val="single" w:sz="4" w:space="0" w:color="auto"/>
            </w:tcBorders>
            <w:noWrap/>
            <w:hideMark/>
          </w:tcPr>
          <w:p w14:paraId="5AC97C5E"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3000</w:t>
            </w:r>
          </w:p>
        </w:tc>
        <w:tc>
          <w:tcPr>
            <w:tcW w:w="900" w:type="dxa"/>
            <w:tcBorders>
              <w:bottom w:val="single" w:sz="4" w:space="0" w:color="auto"/>
            </w:tcBorders>
            <w:noWrap/>
            <w:hideMark/>
          </w:tcPr>
          <w:p w14:paraId="7EB50EDE"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4000</w:t>
            </w:r>
          </w:p>
        </w:tc>
        <w:tc>
          <w:tcPr>
            <w:tcW w:w="990" w:type="dxa"/>
            <w:tcBorders>
              <w:bottom w:val="single" w:sz="4" w:space="0" w:color="auto"/>
            </w:tcBorders>
            <w:noWrap/>
            <w:hideMark/>
          </w:tcPr>
          <w:p w14:paraId="030849FF"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5000</w:t>
            </w:r>
          </w:p>
        </w:tc>
        <w:tc>
          <w:tcPr>
            <w:tcW w:w="900" w:type="dxa"/>
            <w:tcBorders>
              <w:bottom w:val="single" w:sz="4" w:space="0" w:color="auto"/>
            </w:tcBorders>
            <w:noWrap/>
            <w:hideMark/>
          </w:tcPr>
          <w:p w14:paraId="700B6BF6"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6000</w:t>
            </w:r>
          </w:p>
        </w:tc>
        <w:tc>
          <w:tcPr>
            <w:tcW w:w="900" w:type="dxa"/>
            <w:tcBorders>
              <w:bottom w:val="single" w:sz="4" w:space="0" w:color="auto"/>
            </w:tcBorders>
            <w:noWrap/>
            <w:hideMark/>
          </w:tcPr>
          <w:p w14:paraId="0139C2A5"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7000</w:t>
            </w:r>
          </w:p>
        </w:tc>
        <w:tc>
          <w:tcPr>
            <w:tcW w:w="828" w:type="dxa"/>
            <w:tcBorders>
              <w:bottom w:val="single" w:sz="4" w:space="0" w:color="auto"/>
            </w:tcBorders>
            <w:noWrap/>
            <w:hideMark/>
          </w:tcPr>
          <w:p w14:paraId="1FECEB2A" w14:textId="77777777" w:rsidR="00450820" w:rsidRPr="00E16FE4" w:rsidRDefault="00450820" w:rsidP="00E16FE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rPr>
              <w:t>8000</w:t>
            </w:r>
          </w:p>
        </w:tc>
      </w:tr>
      <w:tr w:rsidR="00B22526" w:rsidRPr="00B24877" w14:paraId="58A936B5"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Borders>
              <w:right w:val="single" w:sz="4" w:space="0" w:color="auto"/>
            </w:tcBorders>
            <w:noWrap/>
            <w:hideMark/>
          </w:tcPr>
          <w:p w14:paraId="1745F8EC" w14:textId="404FC0B3" w:rsidR="00B22526" w:rsidRPr="005D5590" w:rsidRDefault="00B22526" w:rsidP="0062301F">
            <w:pPr>
              <w:rPr>
                <w:sz w:val="20"/>
                <w:szCs w:val="20"/>
              </w:rPr>
            </w:pPr>
            <w:r w:rsidRPr="005D5590">
              <w:rPr>
                <w:sz w:val="20"/>
                <w:szCs w:val="20"/>
              </w:rPr>
              <w:t>Reduced Distribution Loss</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726B3F03" w14:textId="4175829F" w:rsidR="00B22526" w:rsidRPr="00A33C5A"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175D48A8" w14:textId="5420EEDE"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0B92487" w14:textId="0E78A413"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9BB4489" w14:textId="453B362F"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040E80D" w14:textId="0B9A7548"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51321FA" w14:textId="3F91F438"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A0B32D6" w14:textId="5D52D080"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c>
          <w:tcPr>
            <w:tcW w:w="828" w:type="dxa"/>
            <w:tcBorders>
              <w:top w:val="single" w:sz="4" w:space="0" w:color="auto"/>
              <w:left w:val="single" w:sz="4" w:space="0" w:color="auto"/>
              <w:bottom w:val="single" w:sz="4" w:space="0" w:color="auto"/>
              <w:right w:val="single" w:sz="4" w:space="0" w:color="auto"/>
            </w:tcBorders>
            <w:noWrap/>
            <w:vAlign w:val="center"/>
            <w:hideMark/>
          </w:tcPr>
          <w:p w14:paraId="2AAA0C5E" w14:textId="4D159544" w:rsidR="00B22526" w:rsidRPr="00A33C5A"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1C6">
              <w:rPr>
                <w:b/>
                <w:sz w:val="13"/>
                <w:szCs w:val="13"/>
              </w:rPr>
              <w:t>REDACTED</w:t>
            </w:r>
          </w:p>
        </w:tc>
      </w:tr>
    </w:tbl>
    <w:p w14:paraId="6EA49F4F" w14:textId="77777777" w:rsidR="005A01DA" w:rsidRDefault="005A01DA" w:rsidP="005A01DA">
      <w:pPr>
        <w:rPr>
          <w:b/>
        </w:rPr>
      </w:pPr>
      <w:r>
        <w:t>Positive values represent</w:t>
      </w:r>
      <w:r w:rsidR="00C25A2F">
        <w:t xml:space="preserve"> </w:t>
      </w:r>
      <w:r>
        <w:t>benefit</w:t>
      </w:r>
      <w:r w:rsidR="00C25A2F">
        <w:t>s</w:t>
      </w:r>
      <w:r>
        <w:t xml:space="preserve"> in the cost benefit determination.</w:t>
      </w:r>
    </w:p>
    <w:p w14:paraId="3C808692" w14:textId="77777777" w:rsidR="00CE72F0" w:rsidRDefault="00CE72F0" w:rsidP="00CE72F0">
      <w:pPr>
        <w:spacing w:line="240" w:lineRule="auto"/>
      </w:pPr>
    </w:p>
    <w:p w14:paraId="29B76608" w14:textId="0E13C35F" w:rsidR="00516AD4" w:rsidRPr="006C7551" w:rsidRDefault="00516AD4" w:rsidP="00516AD4">
      <w:pPr>
        <w:rPr>
          <w:b/>
        </w:rPr>
      </w:pPr>
      <w:r>
        <w:rPr>
          <w:b/>
        </w:rPr>
        <w:t xml:space="preserve">Distribution </w:t>
      </w:r>
      <w:r w:rsidR="00A33C5A">
        <w:rPr>
          <w:b/>
        </w:rPr>
        <w:t>Operations</w:t>
      </w:r>
      <w:r w:rsidR="00A33C5A" w:rsidRPr="006C7551">
        <w:rPr>
          <w:b/>
        </w:rPr>
        <w:t xml:space="preserve"> </w:t>
      </w:r>
      <w:r w:rsidRPr="006C7551">
        <w:rPr>
          <w:b/>
        </w:rPr>
        <w:t>Costs</w:t>
      </w:r>
    </w:p>
    <w:p w14:paraId="7BD21652" w14:textId="77777777" w:rsidR="00516AD4" w:rsidRPr="00320F16" w:rsidRDefault="002F489B" w:rsidP="00516AD4">
      <w:pPr>
        <w:ind w:firstLine="720"/>
      </w:pPr>
      <w:r w:rsidRPr="00A76AC5">
        <w:t>Georgia Power Company</w:t>
      </w:r>
      <w:r w:rsidR="00516AD4" w:rsidRPr="00A76AC5">
        <w:t xml:space="preserve"> </w:t>
      </w:r>
      <w:r w:rsidR="00C4124A" w:rsidRPr="00A76AC5">
        <w:t>has</w:t>
      </w:r>
      <w:r w:rsidR="00C4124A">
        <w:t xml:space="preserve"> not yet developed</w:t>
      </w:r>
      <w:r w:rsidR="00516AD4">
        <w:t xml:space="preserve"> a methodology to calculate the expected distribution operating costs associated with significant penetrations of distributed solar.  Therefore, this section is </w:t>
      </w:r>
      <w:r w:rsidR="00433493">
        <w:t>included</w:t>
      </w:r>
      <w:r w:rsidR="00516AD4">
        <w:t xml:space="preserve"> as a placeholder for future updates to this analysis.</w:t>
      </w:r>
    </w:p>
    <w:p w14:paraId="23065D3D" w14:textId="77777777" w:rsidR="00634244" w:rsidRDefault="00634244" w:rsidP="00516AD4">
      <w:pPr>
        <w:rPr>
          <w:b/>
        </w:rPr>
      </w:pPr>
    </w:p>
    <w:p w14:paraId="4633C4C0" w14:textId="1303CE4D" w:rsidR="00516AD4" w:rsidRPr="006C7551" w:rsidRDefault="005519C0" w:rsidP="00516AD4">
      <w:pPr>
        <w:rPr>
          <w:b/>
        </w:rPr>
      </w:pPr>
      <w:r>
        <w:rPr>
          <w:b/>
        </w:rPr>
        <w:t xml:space="preserve">Ancillary Services – </w:t>
      </w:r>
      <w:r w:rsidR="00516AD4">
        <w:rPr>
          <w:b/>
        </w:rPr>
        <w:t>Reactive Supply and Voltage Control</w:t>
      </w:r>
    </w:p>
    <w:p w14:paraId="4B0FE08D" w14:textId="77777777" w:rsidR="00516AD4" w:rsidRPr="00320F16" w:rsidRDefault="001D1B06" w:rsidP="00516AD4">
      <w:pPr>
        <w:ind w:firstLine="720"/>
      </w:pPr>
      <w:r>
        <w:t>Georgia Power Company</w:t>
      </w:r>
      <w:r w:rsidR="00516AD4">
        <w:t xml:space="preserve"> </w:t>
      </w:r>
      <w:r w:rsidR="00C4124A">
        <w:t>has not yet developed</w:t>
      </w:r>
      <w:r w:rsidR="00516AD4">
        <w:t xml:space="preserve"> a methodology to calculate the expected reactive supply and voltage control costs associated with significant penetrations of distributed solar.  Therefore, this section is </w:t>
      </w:r>
      <w:r w:rsidR="00433493">
        <w:t>included</w:t>
      </w:r>
      <w:r w:rsidR="00516AD4">
        <w:t xml:space="preserve"> as a placeholder for future updates to this analysis.</w:t>
      </w:r>
    </w:p>
    <w:p w14:paraId="3B266328" w14:textId="77777777" w:rsidR="00516AD4" w:rsidRDefault="00516AD4" w:rsidP="00516AD4">
      <w:pPr>
        <w:rPr>
          <w:b/>
        </w:rPr>
      </w:pPr>
    </w:p>
    <w:p w14:paraId="4AB6B884" w14:textId="77777777" w:rsidR="00CD63F6" w:rsidRPr="001068E1" w:rsidRDefault="00CD63F6" w:rsidP="00CD63F6">
      <w:pPr>
        <w:rPr>
          <w:b/>
        </w:rPr>
      </w:pPr>
      <w:r w:rsidRPr="001068E1">
        <w:rPr>
          <w:b/>
        </w:rPr>
        <w:t>Ancillary Services – Regulation</w:t>
      </w:r>
    </w:p>
    <w:p w14:paraId="5ED188A0" w14:textId="365AB990" w:rsidR="00CD63F6" w:rsidRDefault="00771B83" w:rsidP="00CD63F6">
      <w:pPr>
        <w:ind w:firstLine="720"/>
      </w:pPr>
      <w:r>
        <w:t xml:space="preserve">The incremental Regulating Reserve requirement associated with the distributed solar was determined using </w:t>
      </w:r>
      <w:r w:rsidR="00433493">
        <w:t>10-</w:t>
      </w:r>
      <w:r w:rsidR="00CD63F6">
        <w:t xml:space="preserve">minute solar output data from the EPRI research project titled </w:t>
      </w:r>
      <w:r w:rsidR="00CD63F6" w:rsidRPr="002233FB">
        <w:rPr>
          <w:i/>
        </w:rPr>
        <w:t xml:space="preserve">Distributed PV </w:t>
      </w:r>
      <w:r w:rsidR="00CD63F6" w:rsidRPr="002233FB">
        <w:rPr>
          <w:i/>
        </w:rPr>
        <w:lastRenderedPageBreak/>
        <w:t>Monitoring and Feeder Analysis 2010-2014</w:t>
      </w:r>
      <w:r w:rsidR="00CD63F6">
        <w:t xml:space="preserve"> (</w:t>
      </w:r>
      <w:r w:rsidR="009A5A95">
        <w:t xml:space="preserve">EPRI Study).  This </w:t>
      </w:r>
      <w:r w:rsidR="0062301F">
        <w:t>s</w:t>
      </w:r>
      <w:r w:rsidR="009A5A95">
        <w:t xml:space="preserve">tudy </w:t>
      </w:r>
      <w:r w:rsidR="00CD63F6">
        <w:t>evaluated the solar production of a wide distribution of pole-mounted solar panels spread across the states of Georgia and Alabama</w:t>
      </w:r>
      <w:r w:rsidR="009A5A95">
        <w:t>.  A</w:t>
      </w:r>
      <w:r w:rsidR="00CD63F6">
        <w:t xml:space="preserve"> series of geographically diverse sets of output data (ranging from a single site to an aggregate of all the sites stud</w:t>
      </w:r>
      <w:r w:rsidR="00507DAF">
        <w:t>i</w:t>
      </w:r>
      <w:r w:rsidR="00CD63F6">
        <w:t xml:space="preserve">ed) were analyzed to determine their 10-minute ramp volatility.  The results are shown in Figure </w:t>
      </w:r>
      <w:r w:rsidR="00A33C5A">
        <w:t xml:space="preserve">4 </w:t>
      </w:r>
      <w:r w:rsidR="00CD63F6">
        <w:t xml:space="preserve">below. </w:t>
      </w:r>
    </w:p>
    <w:p w14:paraId="04D4F94D" w14:textId="37A78E86" w:rsidR="00A33C5A" w:rsidRDefault="00A33C5A" w:rsidP="00A33C5A">
      <w:r w:rsidRPr="00B764CA">
        <w:rPr>
          <w:b/>
        </w:rPr>
        <w:t xml:space="preserve">Figure </w:t>
      </w:r>
      <w:r>
        <w:rPr>
          <w:b/>
        </w:rPr>
        <w:t>4:</w:t>
      </w:r>
      <w:r w:rsidRPr="00B764CA">
        <w:rPr>
          <w:b/>
        </w:rPr>
        <w:t xml:space="preserve"> Ramp rate cumulative frequency, 10-minute intervals, </w:t>
      </w:r>
      <w:r w:rsidR="00A13F4A" w:rsidRPr="00B764CA">
        <w:rPr>
          <w:b/>
        </w:rPr>
        <w:t>and various</w:t>
      </w:r>
      <w:r w:rsidRPr="00B764CA">
        <w:rPr>
          <w:b/>
        </w:rPr>
        <w:t xml:space="preserve"> DPV aggregations</w:t>
      </w:r>
      <w:r w:rsidR="002142BB">
        <w:rPr>
          <w:b/>
        </w:rPr>
        <w:t>.</w:t>
      </w:r>
    </w:p>
    <w:p w14:paraId="0F22F29D" w14:textId="77777777" w:rsidR="00CD63F6" w:rsidRDefault="00CD63F6" w:rsidP="00CD63F6">
      <w:pPr>
        <w:ind w:firstLine="720"/>
      </w:pPr>
      <w:r>
        <w:rPr>
          <w:noProof/>
        </w:rPr>
        <w:drawing>
          <wp:inline distT="0" distB="0" distL="0" distR="0" wp14:anchorId="49C57E47" wp14:editId="36A9716A">
            <wp:extent cx="4842344" cy="2981739"/>
            <wp:effectExtent l="0" t="0" r="0" b="9525"/>
            <wp:docPr id="3" name="Picture 3" descr="\\Alxapfs17\whobbs$\MATLAB\DPV_Data_01-09-14\f1c.png"/>
            <wp:cNvGraphicFramePr/>
            <a:graphic xmlns:a="http://schemas.openxmlformats.org/drawingml/2006/main">
              <a:graphicData uri="http://schemas.openxmlformats.org/drawingml/2006/picture">
                <pic:pic xmlns:pic="http://schemas.openxmlformats.org/drawingml/2006/picture">
                  <pic:nvPicPr>
                    <pic:cNvPr id="4" name="Picture 3" descr="\\Alxapfs17\whobbs$\MATLAB\DPV_Data_01-09-14\f1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5819" cy="2983879"/>
                    </a:xfrm>
                    <a:prstGeom prst="rect">
                      <a:avLst/>
                    </a:prstGeom>
                    <a:noFill/>
                    <a:ln>
                      <a:noFill/>
                    </a:ln>
                  </pic:spPr>
                </pic:pic>
              </a:graphicData>
            </a:graphic>
          </wp:inline>
        </w:drawing>
      </w:r>
    </w:p>
    <w:p w14:paraId="4CCC896A" w14:textId="26148AB4" w:rsidR="00CD63F6" w:rsidRPr="008A357A" w:rsidRDefault="00CD63F6" w:rsidP="00CD63F6">
      <w:pPr>
        <w:ind w:firstLine="720"/>
      </w:pPr>
      <w:r>
        <w:t>From this figure, i</w:t>
      </w:r>
      <w:r w:rsidR="0062301F">
        <w:t>t</w:t>
      </w:r>
      <w:r>
        <w:t xml:space="preserve"> can be seen that the </w:t>
      </w:r>
      <w:r w:rsidR="00433493">
        <w:t>10-</w:t>
      </w:r>
      <w:r>
        <w:t xml:space="preserve">minute ramp </w:t>
      </w:r>
      <w:r w:rsidR="00771B83">
        <w:t xml:space="preserve">varies </w:t>
      </w:r>
      <w:r>
        <w:t xml:space="preserve">widely from a single installation to a highly geographically diverse set of installations.  </w:t>
      </w:r>
      <w:r w:rsidR="00AB208A">
        <w:t>Because NERC BAL-001 Reliability Standard requires Balancing Authorities to establish Regulating Reserve requirements that are sufficient such that Area Control Error crosses the zero point in at least 90 percent of the 10-minute periods in each month, the 95</w:t>
      </w:r>
      <w:r w:rsidR="00AB208A" w:rsidRPr="00E93DAC">
        <w:rPr>
          <w:vertAlign w:val="superscript"/>
        </w:rPr>
        <w:t>th</w:t>
      </w:r>
      <w:r w:rsidR="00AB208A">
        <w:t xml:space="preserve"> percentile of the 10-minute ramp volatility was chosen to establish the impact that distributed solar generation has on Regulating Reserve requirements</w:t>
      </w:r>
      <w:r w:rsidR="00193E93">
        <w:t>.</w:t>
      </w:r>
      <w:r w:rsidR="00AB208A">
        <w:rPr>
          <w:rStyle w:val="FootnoteReference"/>
        </w:rPr>
        <w:footnoteReference w:id="12"/>
      </w:r>
      <w:r w:rsidR="00E93DAC">
        <w:t xml:space="preserve">  </w:t>
      </w:r>
      <w:r>
        <w:t>At the 95</w:t>
      </w:r>
      <w:r w:rsidRPr="002233FB">
        <w:rPr>
          <w:vertAlign w:val="superscript"/>
        </w:rPr>
        <w:t>th</w:t>
      </w:r>
      <w:r>
        <w:t xml:space="preserve"> percentile, the 10-minute ramp volatility ranges from approximately 25% for a single facility to below 10% for an aggregation of widely dispersed facilities.  For this </w:t>
      </w:r>
      <w:r w:rsidR="00C87406">
        <w:t>analysis</w:t>
      </w:r>
      <w:r>
        <w:t xml:space="preserve">, which is evaluating the costs and benefits of a highly diverse penetration of distributed solar, it was determined that the appropriate 10-minute ramp curve to use </w:t>
      </w:r>
      <w:r w:rsidR="009A5A95">
        <w:t xml:space="preserve">from the EPRI Study </w:t>
      </w:r>
      <w:r>
        <w:t>was the one labeled “Sites A-G + AL, 10min</w:t>
      </w:r>
      <w:r w:rsidR="00433493">
        <w:t>,</w:t>
      </w:r>
      <w:r>
        <w:t xml:space="preserve">” which represents the most geographically diverse aggregation of the research data. </w:t>
      </w:r>
      <w:r w:rsidR="00433493">
        <w:t xml:space="preserve"> </w:t>
      </w:r>
      <w:r>
        <w:t>The 95</w:t>
      </w:r>
      <w:r w:rsidRPr="002233FB">
        <w:rPr>
          <w:vertAlign w:val="superscript"/>
        </w:rPr>
        <w:t>th</w:t>
      </w:r>
      <w:r>
        <w:t xml:space="preserve"> percentile of the 10-minute ramp for this curve is roughly </w:t>
      </w:r>
      <w:r w:rsidRPr="00ED255D">
        <w:t>5</w:t>
      </w:r>
      <w:r>
        <w:t xml:space="preserve">%.  </w:t>
      </w:r>
      <w:r w:rsidR="008F0DAA">
        <w:t>In other words, for each 100MW of solar added to the system, there is a need for an additional 5MW of regulation and, as a result, a 5 MW increase in capacity requirements</w:t>
      </w:r>
      <w:r w:rsidR="00771B83">
        <w:t xml:space="preserve"> because that capacity is no longer available to serve peak load</w:t>
      </w:r>
      <w:r w:rsidR="008F0DAA">
        <w:t xml:space="preserve">. </w:t>
      </w:r>
      <w:r w:rsidR="00433493">
        <w:t xml:space="preserve"> </w:t>
      </w:r>
      <w:r w:rsidR="00193E93">
        <w:t>Thus</w:t>
      </w:r>
      <w:r>
        <w:t>, for purposes of this study, the additional Regulating Reserves required as a result of the addition of distributed solar</w:t>
      </w:r>
      <w:r w:rsidR="008F0DAA">
        <w:t xml:space="preserve"> – and the amount of </w:t>
      </w:r>
      <w:r w:rsidR="008F0DAA">
        <w:lastRenderedPageBreak/>
        <w:t xml:space="preserve">additional capacity needed on the system as a result of this increased requirement </w:t>
      </w:r>
      <w:r w:rsidR="001D1B06">
        <w:t>–</w:t>
      </w:r>
      <w:r>
        <w:t xml:space="preserve"> was assumed to be </w:t>
      </w:r>
      <w:r w:rsidRPr="00ED255D">
        <w:t>5</w:t>
      </w:r>
      <w:r>
        <w:t xml:space="preserve">% of the installed amount or </w:t>
      </w:r>
      <w:r w:rsidR="00AB208A">
        <w:t xml:space="preserve">50MW </w:t>
      </w:r>
      <w:r>
        <w:t xml:space="preserve">for each </w:t>
      </w:r>
      <w:r w:rsidR="00AB208A">
        <w:t xml:space="preserve">1000MW </w:t>
      </w:r>
      <w:r>
        <w:t xml:space="preserve">distributed solar </w:t>
      </w:r>
      <w:r w:rsidR="0062301F">
        <w:t>tranche</w:t>
      </w:r>
      <w:r>
        <w:t>.  The cost impact associated with these additional reserves is reported in the Support Capacity results below.</w:t>
      </w:r>
    </w:p>
    <w:p w14:paraId="3C548ED5" w14:textId="77777777" w:rsidR="00023055" w:rsidRDefault="00023055" w:rsidP="00023055">
      <w:pPr>
        <w:ind w:firstLine="720"/>
      </w:pPr>
    </w:p>
    <w:p w14:paraId="12F86111" w14:textId="77777777" w:rsidR="003C27A0" w:rsidRPr="001068E1" w:rsidRDefault="003C27A0" w:rsidP="003C27A0">
      <w:pPr>
        <w:rPr>
          <w:b/>
        </w:rPr>
      </w:pPr>
      <w:r>
        <w:rPr>
          <w:b/>
        </w:rPr>
        <w:t>Generation Remix</w:t>
      </w:r>
      <w:r w:rsidRPr="001068E1">
        <w:rPr>
          <w:b/>
        </w:rPr>
        <w:t xml:space="preserve"> </w:t>
      </w:r>
      <w:r>
        <w:rPr>
          <w:b/>
        </w:rPr>
        <w:t>Costs</w:t>
      </w:r>
    </w:p>
    <w:p w14:paraId="5DB07AED" w14:textId="3F3B60AD" w:rsidR="00612C82" w:rsidRPr="00450820" w:rsidRDefault="001D7976" w:rsidP="00450820">
      <w:pPr>
        <w:ind w:firstLine="720"/>
      </w:pPr>
      <w:r>
        <w:t xml:space="preserve">Generation Remix costs include a capital component and a production component.  </w:t>
      </w:r>
      <w:r w:rsidR="003C27A0">
        <w:t xml:space="preserve">In accord with the </w:t>
      </w:r>
      <w:r w:rsidR="0052097F">
        <w:t>Framework</w:t>
      </w:r>
      <w:r w:rsidR="003C27A0">
        <w:t xml:space="preserve">, the Generation Remix </w:t>
      </w:r>
      <w:r w:rsidR="00612C82">
        <w:t xml:space="preserve">Capital </w:t>
      </w:r>
      <w:r w:rsidR="003C27A0">
        <w:t xml:space="preserve">costs were determined by performing Strategist runs for each </w:t>
      </w:r>
      <w:r w:rsidR="00612C82">
        <w:t xml:space="preserve">incremental </w:t>
      </w:r>
      <w:r w:rsidR="003C27A0">
        <w:t xml:space="preserve">tranche with </w:t>
      </w:r>
      <w:r w:rsidR="00612C82">
        <w:t xml:space="preserve">the solar tranche added and comparing the resulting expansion plan to the expansion plan </w:t>
      </w:r>
      <w:r w:rsidR="00AB208A">
        <w:t>without the solar tranche</w:t>
      </w:r>
      <w:r w:rsidR="00612C82">
        <w:t xml:space="preserve">.  </w:t>
      </w:r>
      <w:r w:rsidR="00AB208A">
        <w:t xml:space="preserve">The differences in the expansion plan were </w:t>
      </w:r>
      <w:r w:rsidR="00450820">
        <w:t xml:space="preserve">valued at the ECC of the specific </w:t>
      </w:r>
      <w:r w:rsidR="001943C7">
        <w:t xml:space="preserve">generation </w:t>
      </w:r>
      <w:r w:rsidR="00450820">
        <w:t>technology</w:t>
      </w:r>
      <w:r w:rsidR="001943C7">
        <w:t xml:space="preserve"> selected in the Strategist runs</w:t>
      </w:r>
      <w:r w:rsidR="00450820">
        <w:t xml:space="preserve">.  </w:t>
      </w:r>
      <w:r w:rsidR="00612C82">
        <w:t xml:space="preserve">Using these costs, the Generation Remix capital </w:t>
      </w:r>
      <w:r w:rsidR="001D1B06">
        <w:t xml:space="preserve">component </w:t>
      </w:r>
      <w:r w:rsidR="00C0472B">
        <w:t>costs</w:t>
      </w:r>
      <w:proofErr w:type="gramStart"/>
      <w:r w:rsidR="00C0472B">
        <w:t>/(</w:t>
      </w:r>
      <w:proofErr w:type="gramEnd"/>
      <w:r w:rsidR="00612C82">
        <w:t>savings) were calculated for each tranche</w:t>
      </w:r>
      <w:r w:rsidR="00E93DAC">
        <w:t xml:space="preserve">.  </w:t>
      </w:r>
      <w:r w:rsidR="00F31A92">
        <w:t>However, as indicated in the Framework, because these costs also include the Deferred Capacity benefits, those benefits were subtracted from this calculation to eliminate double counting those benefits.</w:t>
      </w:r>
      <w:r w:rsidR="00612C82">
        <w:t xml:space="preserve">  Table </w:t>
      </w:r>
      <w:r w:rsidR="00450820">
        <w:t>1</w:t>
      </w:r>
      <w:r w:rsidR="00E02BB5">
        <w:t>6</w:t>
      </w:r>
      <w:r w:rsidR="00450820">
        <w:t xml:space="preserve"> </w:t>
      </w:r>
      <w:r w:rsidR="00612C82">
        <w:t xml:space="preserve">shows the </w:t>
      </w:r>
      <w:r w:rsidR="00C0472B">
        <w:t>NPV of these Generation Remix capital costs in 2015$.</w:t>
      </w:r>
    </w:p>
    <w:p w14:paraId="51CBEE33" w14:textId="77777777" w:rsidR="00D646C0" w:rsidRDefault="00D646C0" w:rsidP="00927819">
      <w:pPr>
        <w:ind w:firstLine="720"/>
      </w:pPr>
    </w:p>
    <w:p w14:paraId="177DEA8E" w14:textId="77777777" w:rsidR="00C0472B" w:rsidRPr="00BC678C" w:rsidRDefault="00C0472B" w:rsidP="00C0472B">
      <w:pPr>
        <w:rPr>
          <w:b/>
        </w:rPr>
      </w:pPr>
      <w:r w:rsidRPr="00BC678C">
        <w:rPr>
          <w:b/>
        </w:rPr>
        <w:t xml:space="preserve">Table </w:t>
      </w:r>
      <w:r w:rsidR="00450820" w:rsidRPr="00BC678C">
        <w:rPr>
          <w:b/>
        </w:rPr>
        <w:t>1</w:t>
      </w:r>
      <w:r w:rsidR="00E02BB5">
        <w:rPr>
          <w:b/>
        </w:rPr>
        <w:t>6</w:t>
      </w:r>
      <w:r>
        <w:rPr>
          <w:b/>
        </w:rPr>
        <w:t>:</w:t>
      </w:r>
      <w:r w:rsidRPr="00BC678C">
        <w:rPr>
          <w:b/>
        </w:rPr>
        <w:t xml:space="preserve">  </w:t>
      </w:r>
      <w:r>
        <w:rPr>
          <w:b/>
        </w:rPr>
        <w:t>Generation Remix Capital Costs (Millions of Dollars)</w:t>
      </w:r>
    </w:p>
    <w:tbl>
      <w:tblPr>
        <w:tblStyle w:val="LightList-Accent1"/>
        <w:tblW w:w="0" w:type="auto"/>
        <w:tblLook w:val="04A0" w:firstRow="1" w:lastRow="0" w:firstColumn="1" w:lastColumn="0" w:noHBand="0" w:noVBand="1"/>
      </w:tblPr>
      <w:tblGrid>
        <w:gridCol w:w="2446"/>
        <w:gridCol w:w="884"/>
        <w:gridCol w:w="792"/>
        <w:gridCol w:w="909"/>
        <w:gridCol w:w="909"/>
        <w:gridCol w:w="909"/>
        <w:gridCol w:w="909"/>
        <w:gridCol w:w="909"/>
        <w:gridCol w:w="909"/>
      </w:tblGrid>
      <w:tr w:rsidR="00450820" w:rsidRPr="000D3878" w14:paraId="43E2D39D" w14:textId="77777777" w:rsidTr="001D7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49BFCC3" w14:textId="77777777" w:rsidR="00450820" w:rsidRPr="000D3878" w:rsidRDefault="00450820" w:rsidP="0032151D">
            <w:pPr>
              <w:rPr>
                <w:sz w:val="20"/>
              </w:rPr>
            </w:pPr>
          </w:p>
        </w:tc>
        <w:tc>
          <w:tcPr>
            <w:tcW w:w="885" w:type="dxa"/>
            <w:tcBorders>
              <w:bottom w:val="single" w:sz="4" w:space="0" w:color="auto"/>
            </w:tcBorders>
            <w:noWrap/>
            <w:hideMark/>
          </w:tcPr>
          <w:p w14:paraId="7F3CA100"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1000</w:t>
            </w:r>
          </w:p>
        </w:tc>
        <w:tc>
          <w:tcPr>
            <w:tcW w:w="789" w:type="dxa"/>
            <w:tcBorders>
              <w:bottom w:val="single" w:sz="4" w:space="0" w:color="auto"/>
            </w:tcBorders>
            <w:noWrap/>
            <w:hideMark/>
          </w:tcPr>
          <w:p w14:paraId="53F966DF"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2000</w:t>
            </w:r>
          </w:p>
        </w:tc>
        <w:tc>
          <w:tcPr>
            <w:tcW w:w="909" w:type="dxa"/>
            <w:tcBorders>
              <w:bottom w:val="single" w:sz="4" w:space="0" w:color="auto"/>
            </w:tcBorders>
            <w:noWrap/>
            <w:hideMark/>
          </w:tcPr>
          <w:p w14:paraId="21EC6C2E"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3000</w:t>
            </w:r>
          </w:p>
        </w:tc>
        <w:tc>
          <w:tcPr>
            <w:tcW w:w="909" w:type="dxa"/>
            <w:tcBorders>
              <w:bottom w:val="single" w:sz="4" w:space="0" w:color="auto"/>
            </w:tcBorders>
            <w:noWrap/>
            <w:hideMark/>
          </w:tcPr>
          <w:p w14:paraId="05FEDB29"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4000</w:t>
            </w:r>
          </w:p>
        </w:tc>
        <w:tc>
          <w:tcPr>
            <w:tcW w:w="909" w:type="dxa"/>
            <w:tcBorders>
              <w:bottom w:val="single" w:sz="4" w:space="0" w:color="auto"/>
            </w:tcBorders>
            <w:noWrap/>
            <w:hideMark/>
          </w:tcPr>
          <w:p w14:paraId="1D2A5B16"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5000</w:t>
            </w:r>
          </w:p>
        </w:tc>
        <w:tc>
          <w:tcPr>
            <w:tcW w:w="909" w:type="dxa"/>
            <w:tcBorders>
              <w:bottom w:val="single" w:sz="4" w:space="0" w:color="auto"/>
            </w:tcBorders>
            <w:noWrap/>
            <w:hideMark/>
          </w:tcPr>
          <w:p w14:paraId="7CF50E64"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6000</w:t>
            </w:r>
          </w:p>
        </w:tc>
        <w:tc>
          <w:tcPr>
            <w:tcW w:w="909" w:type="dxa"/>
            <w:tcBorders>
              <w:bottom w:val="single" w:sz="4" w:space="0" w:color="auto"/>
            </w:tcBorders>
            <w:noWrap/>
            <w:hideMark/>
          </w:tcPr>
          <w:p w14:paraId="60360365"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7000</w:t>
            </w:r>
          </w:p>
        </w:tc>
        <w:tc>
          <w:tcPr>
            <w:tcW w:w="909" w:type="dxa"/>
            <w:tcBorders>
              <w:bottom w:val="single" w:sz="4" w:space="0" w:color="auto"/>
            </w:tcBorders>
            <w:noWrap/>
            <w:hideMark/>
          </w:tcPr>
          <w:p w14:paraId="132D1748" w14:textId="77777777" w:rsidR="00450820" w:rsidRPr="000D3878" w:rsidRDefault="00450820"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8000</w:t>
            </w:r>
          </w:p>
        </w:tc>
      </w:tr>
      <w:tr w:rsidR="00B22526" w:rsidRPr="000D3878" w14:paraId="340F9FDF" w14:textId="77777777" w:rsidTr="001D7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tcBorders>
              <w:right w:val="single" w:sz="4" w:space="0" w:color="auto"/>
            </w:tcBorders>
            <w:noWrap/>
            <w:hideMark/>
          </w:tcPr>
          <w:p w14:paraId="6FDCF930" w14:textId="77777777" w:rsidR="00B22526" w:rsidRPr="000D3878" w:rsidRDefault="00B22526" w:rsidP="00C0472B">
            <w:pPr>
              <w:rPr>
                <w:sz w:val="20"/>
              </w:rPr>
            </w:pPr>
            <w:r w:rsidRPr="000D3878">
              <w:rPr>
                <w:sz w:val="20"/>
              </w:rPr>
              <w:t>Incremental PV (20</w:t>
            </w:r>
            <w:r>
              <w:rPr>
                <w:sz w:val="20"/>
              </w:rPr>
              <w:t>15</w:t>
            </w:r>
            <w:r w:rsidRPr="000D3878">
              <w:rPr>
                <w:sz w:val="20"/>
              </w:rPr>
              <w:t>)</w:t>
            </w:r>
          </w:p>
        </w:tc>
        <w:tc>
          <w:tcPr>
            <w:tcW w:w="885" w:type="dxa"/>
            <w:tcBorders>
              <w:top w:val="single" w:sz="4" w:space="0" w:color="auto"/>
              <w:left w:val="single" w:sz="4" w:space="0" w:color="auto"/>
              <w:bottom w:val="single" w:sz="4" w:space="0" w:color="auto"/>
              <w:right w:val="single" w:sz="4" w:space="0" w:color="auto"/>
            </w:tcBorders>
            <w:noWrap/>
            <w:vAlign w:val="center"/>
            <w:hideMark/>
          </w:tcPr>
          <w:p w14:paraId="0B508766" w14:textId="500C3894" w:rsidR="00B22526" w:rsidRPr="00E356C0"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2B67092E" w14:textId="7FE36EA9"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2AD7FB3C" w14:textId="531954FC"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3ACDF840" w14:textId="0DDE30AD"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0AB985B9" w14:textId="6F0223E5"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0A4BAEDA" w14:textId="402804CC"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147F8DDB" w14:textId="5A4CE2A5"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7C71C7EC" w14:textId="529FBA4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967F2F">
              <w:rPr>
                <w:b/>
                <w:sz w:val="13"/>
                <w:szCs w:val="13"/>
              </w:rPr>
              <w:t>REDACTED</w:t>
            </w:r>
          </w:p>
        </w:tc>
      </w:tr>
    </w:tbl>
    <w:p w14:paraId="56750082" w14:textId="0CEA82C1" w:rsidR="00C0472B" w:rsidRDefault="00450820" w:rsidP="00C0472B">
      <w:r>
        <w:t xml:space="preserve">Positive </w:t>
      </w:r>
      <w:r w:rsidR="00C0472B">
        <w:t xml:space="preserve">values in this table represent </w:t>
      </w:r>
      <w:r w:rsidR="00772FB5">
        <w:t>benefits</w:t>
      </w:r>
      <w:r w:rsidR="00C0472B">
        <w:t>.</w:t>
      </w:r>
    </w:p>
    <w:p w14:paraId="05351FC2" w14:textId="42856C41" w:rsidR="00C0472B" w:rsidRDefault="00193E93" w:rsidP="00C0472B">
      <w:pPr>
        <w:ind w:firstLine="720"/>
      </w:pPr>
      <w:r>
        <w:t>Pursuant to</w:t>
      </w:r>
      <w:r w:rsidR="00C0472B">
        <w:t xml:space="preserve"> the </w:t>
      </w:r>
      <w:r w:rsidR="0052097F">
        <w:t>Framework</w:t>
      </w:r>
      <w:r w:rsidR="00C0472B">
        <w:t xml:space="preserve">, the Generation Remix Production costs were determined by performing PROSYM runs for each incremental tranche using the incremental solar profiles and expansion plans determined during the capital cost evaluation and then comparing the resulting production cost to the production cost of the prior case.  </w:t>
      </w:r>
      <w:r w:rsidR="00F100FA">
        <w:t>As indicated in the Framework, the avoided energy cost for the tranche was subtracted from this calculation to avoid double counting those benefits.</w:t>
      </w:r>
      <w:r w:rsidR="00F452D9">
        <w:t xml:space="preserve">  </w:t>
      </w:r>
      <w:r w:rsidR="00C0472B">
        <w:t xml:space="preserve">Table </w:t>
      </w:r>
      <w:r w:rsidR="00F452D9">
        <w:t>1</w:t>
      </w:r>
      <w:r w:rsidR="00E02BB5">
        <w:t>7</w:t>
      </w:r>
      <w:r w:rsidR="00F452D9">
        <w:t xml:space="preserve"> </w:t>
      </w:r>
      <w:r w:rsidR="00C0472B">
        <w:t xml:space="preserve">shows the NPV of the Generation Remix </w:t>
      </w:r>
      <w:r w:rsidR="00B359D6">
        <w:t>production</w:t>
      </w:r>
      <w:r w:rsidR="00C0472B">
        <w:t xml:space="preserve"> costs in 2015$.</w:t>
      </w:r>
    </w:p>
    <w:p w14:paraId="620FFEFC" w14:textId="77777777" w:rsidR="00C0472B" w:rsidRDefault="00C0472B" w:rsidP="00C0472B">
      <w:pPr>
        <w:ind w:firstLine="720"/>
      </w:pPr>
    </w:p>
    <w:p w14:paraId="1AB5FB84" w14:textId="77777777" w:rsidR="00C0472B" w:rsidRPr="00BC678C" w:rsidRDefault="00C0472B" w:rsidP="00C0472B">
      <w:pPr>
        <w:rPr>
          <w:b/>
        </w:rPr>
      </w:pPr>
      <w:r w:rsidRPr="00BC678C">
        <w:rPr>
          <w:b/>
        </w:rPr>
        <w:t xml:space="preserve">Table </w:t>
      </w:r>
      <w:r w:rsidR="00F452D9" w:rsidRPr="00BC678C">
        <w:rPr>
          <w:b/>
        </w:rPr>
        <w:t>1</w:t>
      </w:r>
      <w:r w:rsidR="00E02BB5">
        <w:rPr>
          <w:b/>
        </w:rPr>
        <w:t>7</w:t>
      </w:r>
      <w:r>
        <w:rPr>
          <w:b/>
        </w:rPr>
        <w:t>:</w:t>
      </w:r>
      <w:r w:rsidRPr="00BC678C">
        <w:rPr>
          <w:b/>
        </w:rPr>
        <w:t xml:space="preserve">  </w:t>
      </w:r>
      <w:r>
        <w:rPr>
          <w:b/>
        </w:rPr>
        <w:t xml:space="preserve">Generation Remix </w:t>
      </w:r>
      <w:r w:rsidR="00B359D6">
        <w:rPr>
          <w:b/>
        </w:rPr>
        <w:t>Production</w:t>
      </w:r>
      <w:r>
        <w:rPr>
          <w:b/>
        </w:rPr>
        <w:t xml:space="preserve"> Costs (Millions of Dollars)</w:t>
      </w:r>
    </w:p>
    <w:tbl>
      <w:tblPr>
        <w:tblStyle w:val="LightList-Accent1"/>
        <w:tblW w:w="0" w:type="auto"/>
        <w:tblLook w:val="04A0" w:firstRow="1" w:lastRow="0" w:firstColumn="1" w:lastColumn="0" w:noHBand="0" w:noVBand="1"/>
      </w:tblPr>
      <w:tblGrid>
        <w:gridCol w:w="2267"/>
        <w:gridCol w:w="1064"/>
        <w:gridCol w:w="827"/>
        <w:gridCol w:w="903"/>
        <w:gridCol w:w="903"/>
        <w:gridCol w:w="903"/>
        <w:gridCol w:w="903"/>
        <w:gridCol w:w="903"/>
        <w:gridCol w:w="903"/>
      </w:tblGrid>
      <w:tr w:rsidR="00F452D9" w:rsidRPr="000D3878" w14:paraId="11BECBA0" w14:textId="77777777" w:rsidTr="00F452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7" w:type="dxa"/>
            <w:noWrap/>
            <w:hideMark/>
          </w:tcPr>
          <w:p w14:paraId="527EB4FE" w14:textId="77777777" w:rsidR="00F452D9" w:rsidRPr="000D3878" w:rsidRDefault="00F452D9" w:rsidP="0032151D">
            <w:pPr>
              <w:rPr>
                <w:sz w:val="20"/>
              </w:rPr>
            </w:pPr>
          </w:p>
        </w:tc>
        <w:tc>
          <w:tcPr>
            <w:tcW w:w="1064" w:type="dxa"/>
            <w:tcBorders>
              <w:bottom w:val="single" w:sz="4" w:space="0" w:color="auto"/>
            </w:tcBorders>
            <w:noWrap/>
            <w:hideMark/>
          </w:tcPr>
          <w:p w14:paraId="61F25D65"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1000</w:t>
            </w:r>
          </w:p>
        </w:tc>
        <w:tc>
          <w:tcPr>
            <w:tcW w:w="827" w:type="dxa"/>
            <w:tcBorders>
              <w:bottom w:val="single" w:sz="4" w:space="0" w:color="auto"/>
            </w:tcBorders>
            <w:noWrap/>
            <w:hideMark/>
          </w:tcPr>
          <w:p w14:paraId="29F5E5D4"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2000</w:t>
            </w:r>
          </w:p>
        </w:tc>
        <w:tc>
          <w:tcPr>
            <w:tcW w:w="903" w:type="dxa"/>
            <w:tcBorders>
              <w:bottom w:val="single" w:sz="4" w:space="0" w:color="auto"/>
            </w:tcBorders>
            <w:noWrap/>
            <w:hideMark/>
          </w:tcPr>
          <w:p w14:paraId="597EAC56"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3000</w:t>
            </w:r>
          </w:p>
        </w:tc>
        <w:tc>
          <w:tcPr>
            <w:tcW w:w="903" w:type="dxa"/>
            <w:tcBorders>
              <w:bottom w:val="single" w:sz="4" w:space="0" w:color="auto"/>
            </w:tcBorders>
            <w:noWrap/>
            <w:hideMark/>
          </w:tcPr>
          <w:p w14:paraId="6BA65387"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4000</w:t>
            </w:r>
          </w:p>
        </w:tc>
        <w:tc>
          <w:tcPr>
            <w:tcW w:w="903" w:type="dxa"/>
            <w:tcBorders>
              <w:bottom w:val="single" w:sz="4" w:space="0" w:color="auto"/>
            </w:tcBorders>
            <w:noWrap/>
            <w:hideMark/>
          </w:tcPr>
          <w:p w14:paraId="66DF5EA6"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5000</w:t>
            </w:r>
          </w:p>
        </w:tc>
        <w:tc>
          <w:tcPr>
            <w:tcW w:w="903" w:type="dxa"/>
            <w:tcBorders>
              <w:bottom w:val="single" w:sz="4" w:space="0" w:color="auto"/>
            </w:tcBorders>
            <w:noWrap/>
            <w:hideMark/>
          </w:tcPr>
          <w:p w14:paraId="223EE2D8"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6000</w:t>
            </w:r>
          </w:p>
        </w:tc>
        <w:tc>
          <w:tcPr>
            <w:tcW w:w="903" w:type="dxa"/>
            <w:tcBorders>
              <w:bottom w:val="single" w:sz="4" w:space="0" w:color="auto"/>
            </w:tcBorders>
            <w:noWrap/>
            <w:hideMark/>
          </w:tcPr>
          <w:p w14:paraId="61913875"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7000</w:t>
            </w:r>
          </w:p>
        </w:tc>
        <w:tc>
          <w:tcPr>
            <w:tcW w:w="903" w:type="dxa"/>
            <w:tcBorders>
              <w:bottom w:val="single" w:sz="4" w:space="0" w:color="auto"/>
            </w:tcBorders>
            <w:noWrap/>
            <w:hideMark/>
          </w:tcPr>
          <w:p w14:paraId="1B2FBEFE" w14:textId="77777777" w:rsidR="00F452D9" w:rsidRPr="000D3878" w:rsidRDefault="00F452D9" w:rsidP="003215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8000</w:t>
            </w:r>
          </w:p>
        </w:tc>
      </w:tr>
      <w:tr w:rsidR="00B22526" w:rsidRPr="000D3878" w14:paraId="1B68FBBE"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7" w:type="dxa"/>
            <w:tcBorders>
              <w:right w:val="single" w:sz="4" w:space="0" w:color="auto"/>
            </w:tcBorders>
            <w:noWrap/>
            <w:hideMark/>
          </w:tcPr>
          <w:p w14:paraId="5F967930" w14:textId="77777777" w:rsidR="00B22526" w:rsidRPr="000D3878" w:rsidRDefault="00B22526" w:rsidP="0032151D">
            <w:pPr>
              <w:rPr>
                <w:sz w:val="20"/>
              </w:rPr>
            </w:pPr>
            <w:r w:rsidRPr="000D3878">
              <w:rPr>
                <w:sz w:val="20"/>
              </w:rPr>
              <w:t>Incremental PV (20</w:t>
            </w:r>
            <w:r>
              <w:rPr>
                <w:sz w:val="20"/>
              </w:rPr>
              <w:t>15</w:t>
            </w:r>
            <w:r w:rsidRPr="000D3878">
              <w:rPr>
                <w:sz w:val="20"/>
              </w:rPr>
              <w:t>)</w:t>
            </w: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2AB40BE4" w14:textId="54BAADBB" w:rsidR="00B22526" w:rsidRPr="00E356C0"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827" w:type="dxa"/>
            <w:tcBorders>
              <w:top w:val="single" w:sz="4" w:space="0" w:color="auto"/>
              <w:left w:val="single" w:sz="4" w:space="0" w:color="auto"/>
              <w:bottom w:val="single" w:sz="4" w:space="0" w:color="auto"/>
              <w:right w:val="single" w:sz="4" w:space="0" w:color="auto"/>
            </w:tcBorders>
            <w:noWrap/>
            <w:vAlign w:val="center"/>
            <w:hideMark/>
          </w:tcPr>
          <w:p w14:paraId="5839016B" w14:textId="0389259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1DF84CAD" w14:textId="4AE3F4F8"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59A2446A" w14:textId="799BE3C8"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41277FDB" w14:textId="71009EE8"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2360DD3C" w14:textId="6400E6CF"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5614171E" w14:textId="2DCFAC4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5BC7CF4F" w14:textId="17B104E7"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71AD6">
              <w:rPr>
                <w:b/>
                <w:sz w:val="13"/>
                <w:szCs w:val="13"/>
              </w:rPr>
              <w:t>REDACTED</w:t>
            </w:r>
          </w:p>
        </w:tc>
      </w:tr>
    </w:tbl>
    <w:p w14:paraId="258E6D09" w14:textId="77777777" w:rsidR="00C0472B" w:rsidRDefault="00C0472B" w:rsidP="00C0472B">
      <w:r>
        <w:t xml:space="preserve">Negative values in this table represent </w:t>
      </w:r>
      <w:r w:rsidR="00F452D9">
        <w:t>costs</w:t>
      </w:r>
      <w:r>
        <w:t>.</w:t>
      </w:r>
    </w:p>
    <w:p w14:paraId="7D04AEC9" w14:textId="589E28F9" w:rsidR="00E909ED" w:rsidRDefault="00E909ED" w:rsidP="00C0472B">
      <w:pPr>
        <w:ind w:firstLine="720"/>
      </w:pPr>
      <w:r>
        <w:t xml:space="preserve">The total Generation Remix costs, therefore, </w:t>
      </w:r>
      <w:r w:rsidR="00193E93">
        <w:t xml:space="preserve">equals </w:t>
      </w:r>
      <w:r>
        <w:t>the sum of the Generation Remix Capital costs and the Generation Remix Production costs.  Table 1</w:t>
      </w:r>
      <w:r w:rsidR="00E02BB5">
        <w:t>8</w:t>
      </w:r>
      <w:r>
        <w:t xml:space="preserve"> shows the total Generation Remix Costs.</w:t>
      </w:r>
    </w:p>
    <w:p w14:paraId="256BBA94" w14:textId="77777777" w:rsidR="000F565A" w:rsidRDefault="000F565A">
      <w:pPr>
        <w:rPr>
          <w:b/>
        </w:rPr>
      </w:pPr>
      <w:r>
        <w:rPr>
          <w:b/>
        </w:rPr>
        <w:br w:type="page"/>
      </w:r>
    </w:p>
    <w:p w14:paraId="4F625E8B" w14:textId="0FD97BB6" w:rsidR="00E909ED" w:rsidRPr="00E93DAC" w:rsidRDefault="00E909ED" w:rsidP="00E93DAC">
      <w:pPr>
        <w:rPr>
          <w:b/>
        </w:rPr>
      </w:pPr>
      <w:r w:rsidRPr="00E93DAC">
        <w:rPr>
          <w:b/>
        </w:rPr>
        <w:lastRenderedPageBreak/>
        <w:t>Table 1</w:t>
      </w:r>
      <w:r w:rsidR="00E02BB5">
        <w:rPr>
          <w:b/>
        </w:rPr>
        <w:t>8</w:t>
      </w:r>
      <w:r w:rsidR="00233D29">
        <w:rPr>
          <w:b/>
        </w:rPr>
        <w:t>:</w:t>
      </w:r>
      <w:r w:rsidRPr="00E93DAC">
        <w:rPr>
          <w:b/>
        </w:rPr>
        <w:t xml:space="preserve"> Total Generation Remix Costs (Millions of Dollars)</w:t>
      </w:r>
    </w:p>
    <w:tbl>
      <w:tblPr>
        <w:tblStyle w:val="LightList-Accent1"/>
        <w:tblW w:w="0" w:type="auto"/>
        <w:tblLook w:val="04A0" w:firstRow="1" w:lastRow="0" w:firstColumn="1" w:lastColumn="0" w:noHBand="0" w:noVBand="1"/>
      </w:tblPr>
      <w:tblGrid>
        <w:gridCol w:w="2267"/>
        <w:gridCol w:w="1064"/>
        <w:gridCol w:w="827"/>
        <w:gridCol w:w="903"/>
        <w:gridCol w:w="903"/>
        <w:gridCol w:w="903"/>
        <w:gridCol w:w="903"/>
        <w:gridCol w:w="903"/>
        <w:gridCol w:w="903"/>
      </w:tblGrid>
      <w:tr w:rsidR="00E909ED" w:rsidRPr="000D3878" w14:paraId="5718B3BC" w14:textId="77777777" w:rsidTr="00742F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7" w:type="dxa"/>
            <w:noWrap/>
            <w:hideMark/>
          </w:tcPr>
          <w:p w14:paraId="0BD1D29E" w14:textId="77777777" w:rsidR="00E909ED" w:rsidRPr="000D3878" w:rsidRDefault="00E909ED" w:rsidP="00742F4E">
            <w:pPr>
              <w:rPr>
                <w:sz w:val="20"/>
              </w:rPr>
            </w:pPr>
          </w:p>
        </w:tc>
        <w:tc>
          <w:tcPr>
            <w:tcW w:w="1064" w:type="dxa"/>
            <w:tcBorders>
              <w:bottom w:val="single" w:sz="4" w:space="0" w:color="auto"/>
            </w:tcBorders>
            <w:noWrap/>
            <w:hideMark/>
          </w:tcPr>
          <w:p w14:paraId="0B899BE4"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1000</w:t>
            </w:r>
          </w:p>
        </w:tc>
        <w:tc>
          <w:tcPr>
            <w:tcW w:w="827" w:type="dxa"/>
            <w:tcBorders>
              <w:bottom w:val="single" w:sz="4" w:space="0" w:color="auto"/>
            </w:tcBorders>
            <w:noWrap/>
            <w:hideMark/>
          </w:tcPr>
          <w:p w14:paraId="392E3EEA"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2000</w:t>
            </w:r>
          </w:p>
        </w:tc>
        <w:tc>
          <w:tcPr>
            <w:tcW w:w="903" w:type="dxa"/>
            <w:tcBorders>
              <w:bottom w:val="single" w:sz="4" w:space="0" w:color="auto"/>
            </w:tcBorders>
            <w:noWrap/>
            <w:hideMark/>
          </w:tcPr>
          <w:p w14:paraId="3E305C9E"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3000</w:t>
            </w:r>
          </w:p>
        </w:tc>
        <w:tc>
          <w:tcPr>
            <w:tcW w:w="903" w:type="dxa"/>
            <w:tcBorders>
              <w:bottom w:val="single" w:sz="4" w:space="0" w:color="auto"/>
            </w:tcBorders>
            <w:noWrap/>
            <w:hideMark/>
          </w:tcPr>
          <w:p w14:paraId="605DE96C"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4000</w:t>
            </w:r>
          </w:p>
        </w:tc>
        <w:tc>
          <w:tcPr>
            <w:tcW w:w="903" w:type="dxa"/>
            <w:tcBorders>
              <w:bottom w:val="single" w:sz="4" w:space="0" w:color="auto"/>
            </w:tcBorders>
            <w:noWrap/>
            <w:hideMark/>
          </w:tcPr>
          <w:p w14:paraId="0DD0ADC7"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5000</w:t>
            </w:r>
          </w:p>
        </w:tc>
        <w:tc>
          <w:tcPr>
            <w:tcW w:w="903" w:type="dxa"/>
            <w:tcBorders>
              <w:bottom w:val="single" w:sz="4" w:space="0" w:color="auto"/>
            </w:tcBorders>
            <w:noWrap/>
            <w:hideMark/>
          </w:tcPr>
          <w:p w14:paraId="19A76118"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6000</w:t>
            </w:r>
          </w:p>
        </w:tc>
        <w:tc>
          <w:tcPr>
            <w:tcW w:w="903" w:type="dxa"/>
            <w:tcBorders>
              <w:bottom w:val="single" w:sz="4" w:space="0" w:color="auto"/>
            </w:tcBorders>
            <w:noWrap/>
            <w:hideMark/>
          </w:tcPr>
          <w:p w14:paraId="4544993B"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7000</w:t>
            </w:r>
          </w:p>
        </w:tc>
        <w:tc>
          <w:tcPr>
            <w:tcW w:w="903" w:type="dxa"/>
            <w:tcBorders>
              <w:bottom w:val="single" w:sz="4" w:space="0" w:color="auto"/>
            </w:tcBorders>
            <w:noWrap/>
            <w:hideMark/>
          </w:tcPr>
          <w:p w14:paraId="73B73928" w14:textId="77777777" w:rsidR="00E909ED" w:rsidRPr="000D3878" w:rsidRDefault="00E909ED" w:rsidP="00742F4E">
            <w:pPr>
              <w:jc w:val="center"/>
              <w:cnfStyle w:val="100000000000" w:firstRow="1" w:lastRow="0" w:firstColumn="0" w:lastColumn="0" w:oddVBand="0" w:evenVBand="0" w:oddHBand="0" w:evenHBand="0" w:firstRowFirstColumn="0" w:firstRowLastColumn="0" w:lastRowFirstColumn="0" w:lastRowLastColumn="0"/>
              <w:rPr>
                <w:sz w:val="20"/>
              </w:rPr>
            </w:pPr>
            <w:r>
              <w:rPr>
                <w:sz w:val="20"/>
              </w:rPr>
              <w:t>8000</w:t>
            </w:r>
          </w:p>
        </w:tc>
      </w:tr>
      <w:tr w:rsidR="00B22526" w:rsidRPr="000D3878" w14:paraId="47DC436C"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7" w:type="dxa"/>
            <w:tcBorders>
              <w:right w:val="single" w:sz="4" w:space="0" w:color="auto"/>
            </w:tcBorders>
            <w:noWrap/>
            <w:hideMark/>
          </w:tcPr>
          <w:p w14:paraId="69B4050B" w14:textId="77777777" w:rsidR="00B22526" w:rsidRPr="000D3878" w:rsidRDefault="00B22526" w:rsidP="00742F4E">
            <w:pPr>
              <w:rPr>
                <w:sz w:val="20"/>
              </w:rPr>
            </w:pPr>
            <w:r w:rsidRPr="000D3878">
              <w:rPr>
                <w:sz w:val="20"/>
              </w:rPr>
              <w:t>Incremental PV (20</w:t>
            </w:r>
            <w:r>
              <w:rPr>
                <w:sz w:val="20"/>
              </w:rPr>
              <w:t>15</w:t>
            </w:r>
            <w:r w:rsidRPr="000D3878">
              <w:rPr>
                <w:sz w:val="20"/>
              </w:rPr>
              <w:t>)</w:t>
            </w: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3A32575B" w14:textId="4A2823FF" w:rsidR="00B22526" w:rsidRPr="00E356C0"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827" w:type="dxa"/>
            <w:tcBorders>
              <w:top w:val="single" w:sz="4" w:space="0" w:color="auto"/>
              <w:left w:val="single" w:sz="4" w:space="0" w:color="auto"/>
              <w:bottom w:val="single" w:sz="4" w:space="0" w:color="auto"/>
              <w:right w:val="single" w:sz="4" w:space="0" w:color="auto"/>
            </w:tcBorders>
            <w:noWrap/>
            <w:vAlign w:val="center"/>
            <w:hideMark/>
          </w:tcPr>
          <w:p w14:paraId="384E082A" w14:textId="00F9D1F8"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249BFF63" w14:textId="0AF8D2E4"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0FA1416C" w14:textId="06BF265C"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38579883" w14:textId="6E2F58DF"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1382AFFC" w14:textId="2971431C"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17A61A96" w14:textId="79284E07"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5A569D45" w14:textId="1A465FFA"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B00780">
              <w:rPr>
                <w:b/>
                <w:sz w:val="13"/>
                <w:szCs w:val="13"/>
              </w:rPr>
              <w:t>REDACTED</w:t>
            </w:r>
          </w:p>
        </w:tc>
      </w:tr>
    </w:tbl>
    <w:p w14:paraId="68135A87" w14:textId="77777777" w:rsidR="00E909ED" w:rsidRDefault="00E909ED" w:rsidP="00E93DAC">
      <w:r>
        <w:t>Negative values in this table represent costs.</w:t>
      </w:r>
    </w:p>
    <w:p w14:paraId="07CB66E3" w14:textId="77777777" w:rsidR="00C0472B" w:rsidRDefault="00C0472B" w:rsidP="00C0472B">
      <w:pPr>
        <w:ind w:firstLine="720"/>
      </w:pPr>
      <w:r>
        <w:t xml:space="preserve">These values were then converted into 30-year levelized values as shown in Table </w:t>
      </w:r>
      <w:r w:rsidR="00E909ED">
        <w:t>1</w:t>
      </w:r>
      <w:r w:rsidR="00E02BB5">
        <w:t>9</w:t>
      </w:r>
      <w:r>
        <w:t>.</w:t>
      </w:r>
    </w:p>
    <w:p w14:paraId="24348385" w14:textId="77777777" w:rsidR="00D646C0" w:rsidRDefault="00D646C0" w:rsidP="00C0472B">
      <w:pPr>
        <w:ind w:firstLine="720"/>
      </w:pPr>
    </w:p>
    <w:p w14:paraId="0DA64EAD" w14:textId="77777777" w:rsidR="00C0472B" w:rsidRPr="00BC678C" w:rsidRDefault="00C0472B" w:rsidP="00C0472B">
      <w:pPr>
        <w:rPr>
          <w:b/>
        </w:rPr>
      </w:pPr>
      <w:r w:rsidRPr="00BC678C">
        <w:rPr>
          <w:b/>
        </w:rPr>
        <w:t xml:space="preserve">Table </w:t>
      </w:r>
      <w:r w:rsidR="00E909ED" w:rsidRPr="00BC678C">
        <w:rPr>
          <w:b/>
        </w:rPr>
        <w:t>1</w:t>
      </w:r>
      <w:r w:rsidR="00E02BB5">
        <w:rPr>
          <w:b/>
        </w:rPr>
        <w:t>9</w:t>
      </w:r>
      <w:r>
        <w:rPr>
          <w:b/>
        </w:rPr>
        <w:t>:</w:t>
      </w:r>
      <w:r w:rsidRPr="00BC678C">
        <w:rPr>
          <w:b/>
        </w:rPr>
        <w:t xml:space="preserve">  </w:t>
      </w:r>
      <w:r>
        <w:rPr>
          <w:b/>
        </w:rPr>
        <w:t xml:space="preserve">30-Year Levelized Generation Remix </w:t>
      </w:r>
      <w:r w:rsidR="00B359D6">
        <w:rPr>
          <w:b/>
        </w:rPr>
        <w:t>Production</w:t>
      </w:r>
      <w:r>
        <w:rPr>
          <w:b/>
        </w:rPr>
        <w:t xml:space="preserve"> Costs ($/MWH)</w:t>
      </w:r>
    </w:p>
    <w:tbl>
      <w:tblPr>
        <w:tblStyle w:val="LightList-Accent1"/>
        <w:tblW w:w="0" w:type="auto"/>
        <w:tblLook w:val="04A0" w:firstRow="1" w:lastRow="0" w:firstColumn="1" w:lastColumn="0" w:noHBand="0" w:noVBand="1"/>
      </w:tblPr>
      <w:tblGrid>
        <w:gridCol w:w="2405"/>
        <w:gridCol w:w="853"/>
        <w:gridCol w:w="869"/>
        <w:gridCol w:w="909"/>
        <w:gridCol w:w="908"/>
        <w:gridCol w:w="908"/>
        <w:gridCol w:w="908"/>
        <w:gridCol w:w="908"/>
        <w:gridCol w:w="908"/>
      </w:tblGrid>
      <w:tr w:rsidR="00C26894" w:rsidRPr="00B24877" w14:paraId="49D2CCE4" w14:textId="77777777" w:rsidTr="00C268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024EFA8" w14:textId="77777777" w:rsidR="00C0472B" w:rsidRPr="00B24877" w:rsidRDefault="00C0472B" w:rsidP="0032151D">
            <w:pPr>
              <w:rPr>
                <w:sz w:val="18"/>
              </w:rPr>
            </w:pPr>
          </w:p>
        </w:tc>
        <w:tc>
          <w:tcPr>
            <w:tcW w:w="853" w:type="dxa"/>
            <w:tcBorders>
              <w:bottom w:val="single" w:sz="4" w:space="0" w:color="auto"/>
            </w:tcBorders>
            <w:noWrap/>
            <w:hideMark/>
          </w:tcPr>
          <w:p w14:paraId="640ACB55" w14:textId="176B6351"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1000</w:t>
            </w:r>
          </w:p>
        </w:tc>
        <w:tc>
          <w:tcPr>
            <w:tcW w:w="869" w:type="dxa"/>
            <w:tcBorders>
              <w:bottom w:val="single" w:sz="4" w:space="0" w:color="auto"/>
            </w:tcBorders>
            <w:noWrap/>
            <w:hideMark/>
          </w:tcPr>
          <w:p w14:paraId="0D276AC7" w14:textId="79D5025F"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2000</w:t>
            </w:r>
          </w:p>
        </w:tc>
        <w:tc>
          <w:tcPr>
            <w:tcW w:w="909" w:type="dxa"/>
            <w:tcBorders>
              <w:bottom w:val="single" w:sz="4" w:space="0" w:color="auto"/>
            </w:tcBorders>
            <w:noWrap/>
            <w:hideMark/>
          </w:tcPr>
          <w:p w14:paraId="3C38012D" w14:textId="7BC8F4B0"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3000</w:t>
            </w:r>
          </w:p>
        </w:tc>
        <w:tc>
          <w:tcPr>
            <w:tcW w:w="908" w:type="dxa"/>
            <w:tcBorders>
              <w:bottom w:val="single" w:sz="4" w:space="0" w:color="auto"/>
            </w:tcBorders>
            <w:noWrap/>
            <w:hideMark/>
          </w:tcPr>
          <w:p w14:paraId="4B91ED9E" w14:textId="675FFFA4"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4000</w:t>
            </w:r>
          </w:p>
        </w:tc>
        <w:tc>
          <w:tcPr>
            <w:tcW w:w="908" w:type="dxa"/>
            <w:tcBorders>
              <w:bottom w:val="single" w:sz="4" w:space="0" w:color="auto"/>
            </w:tcBorders>
            <w:noWrap/>
            <w:hideMark/>
          </w:tcPr>
          <w:p w14:paraId="3855B12C" w14:textId="68DF3295"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5000</w:t>
            </w:r>
          </w:p>
        </w:tc>
        <w:tc>
          <w:tcPr>
            <w:tcW w:w="908" w:type="dxa"/>
            <w:tcBorders>
              <w:bottom w:val="single" w:sz="4" w:space="0" w:color="auto"/>
            </w:tcBorders>
            <w:noWrap/>
            <w:hideMark/>
          </w:tcPr>
          <w:p w14:paraId="4A7AB89B" w14:textId="55A46F92"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6000</w:t>
            </w:r>
          </w:p>
        </w:tc>
        <w:tc>
          <w:tcPr>
            <w:tcW w:w="908" w:type="dxa"/>
            <w:tcBorders>
              <w:bottom w:val="single" w:sz="4" w:space="0" w:color="auto"/>
            </w:tcBorders>
            <w:noWrap/>
            <w:hideMark/>
          </w:tcPr>
          <w:p w14:paraId="6108E10E" w14:textId="20590E08"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7000</w:t>
            </w:r>
          </w:p>
        </w:tc>
        <w:tc>
          <w:tcPr>
            <w:tcW w:w="908" w:type="dxa"/>
            <w:tcBorders>
              <w:bottom w:val="single" w:sz="4" w:space="0" w:color="auto"/>
            </w:tcBorders>
            <w:noWrap/>
            <w:hideMark/>
          </w:tcPr>
          <w:p w14:paraId="2CAED29E" w14:textId="137C0228" w:rsidR="00C0472B" w:rsidRPr="00C26894" w:rsidRDefault="00C26894" w:rsidP="0032151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26894">
              <w:rPr>
                <w:sz w:val="20"/>
                <w:szCs w:val="20"/>
              </w:rPr>
              <w:t>8000</w:t>
            </w:r>
          </w:p>
        </w:tc>
      </w:tr>
      <w:tr w:rsidR="00B22526" w:rsidRPr="00D76468" w14:paraId="364DD980"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noWrap/>
            <w:hideMark/>
          </w:tcPr>
          <w:p w14:paraId="370B2A55" w14:textId="77777777" w:rsidR="00B22526" w:rsidRPr="00E356C0" w:rsidRDefault="00B22526" w:rsidP="0032151D">
            <w:pPr>
              <w:rPr>
                <w:sz w:val="20"/>
                <w:szCs w:val="20"/>
              </w:rPr>
            </w:pPr>
            <w:r w:rsidRPr="00E356C0">
              <w:rPr>
                <w:sz w:val="20"/>
                <w:szCs w:val="20"/>
              </w:rPr>
              <w:t>Generation Remix Costs</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4263E11C" w14:textId="18DCAFD9"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869" w:type="dxa"/>
            <w:tcBorders>
              <w:top w:val="single" w:sz="4" w:space="0" w:color="auto"/>
              <w:left w:val="single" w:sz="4" w:space="0" w:color="auto"/>
              <w:bottom w:val="single" w:sz="4" w:space="0" w:color="auto"/>
              <w:right w:val="single" w:sz="4" w:space="0" w:color="auto"/>
            </w:tcBorders>
            <w:noWrap/>
            <w:vAlign w:val="center"/>
            <w:hideMark/>
          </w:tcPr>
          <w:p w14:paraId="0CBFCE09" w14:textId="6552C9E2" w:rsidR="00B22526" w:rsidRPr="00E356C0" w:rsidRDefault="00B22526" w:rsidP="00B22526">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9" w:type="dxa"/>
            <w:tcBorders>
              <w:top w:val="single" w:sz="4" w:space="0" w:color="auto"/>
              <w:left w:val="single" w:sz="4" w:space="0" w:color="auto"/>
              <w:bottom w:val="single" w:sz="4" w:space="0" w:color="auto"/>
              <w:right w:val="single" w:sz="4" w:space="0" w:color="auto"/>
            </w:tcBorders>
            <w:noWrap/>
            <w:vAlign w:val="center"/>
            <w:hideMark/>
          </w:tcPr>
          <w:p w14:paraId="354FE119" w14:textId="3417C9D4"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8" w:type="dxa"/>
            <w:tcBorders>
              <w:top w:val="single" w:sz="4" w:space="0" w:color="auto"/>
              <w:left w:val="single" w:sz="4" w:space="0" w:color="auto"/>
              <w:bottom w:val="single" w:sz="4" w:space="0" w:color="auto"/>
              <w:right w:val="single" w:sz="4" w:space="0" w:color="auto"/>
            </w:tcBorders>
            <w:noWrap/>
            <w:vAlign w:val="center"/>
            <w:hideMark/>
          </w:tcPr>
          <w:p w14:paraId="547B4DE7" w14:textId="0FA6A4F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8" w:type="dxa"/>
            <w:tcBorders>
              <w:top w:val="single" w:sz="4" w:space="0" w:color="auto"/>
              <w:left w:val="single" w:sz="4" w:space="0" w:color="auto"/>
              <w:bottom w:val="single" w:sz="4" w:space="0" w:color="auto"/>
              <w:right w:val="single" w:sz="4" w:space="0" w:color="auto"/>
            </w:tcBorders>
            <w:noWrap/>
            <w:vAlign w:val="center"/>
            <w:hideMark/>
          </w:tcPr>
          <w:p w14:paraId="19687E3F" w14:textId="0713F84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8" w:type="dxa"/>
            <w:tcBorders>
              <w:top w:val="single" w:sz="4" w:space="0" w:color="auto"/>
              <w:left w:val="single" w:sz="4" w:space="0" w:color="auto"/>
              <w:bottom w:val="single" w:sz="4" w:space="0" w:color="auto"/>
              <w:right w:val="single" w:sz="4" w:space="0" w:color="auto"/>
            </w:tcBorders>
            <w:noWrap/>
            <w:vAlign w:val="center"/>
            <w:hideMark/>
          </w:tcPr>
          <w:p w14:paraId="58BFFCDE" w14:textId="2429172F"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8" w:type="dxa"/>
            <w:tcBorders>
              <w:top w:val="single" w:sz="4" w:space="0" w:color="auto"/>
              <w:left w:val="single" w:sz="4" w:space="0" w:color="auto"/>
              <w:bottom w:val="single" w:sz="4" w:space="0" w:color="auto"/>
              <w:right w:val="single" w:sz="4" w:space="0" w:color="auto"/>
            </w:tcBorders>
            <w:noWrap/>
            <w:vAlign w:val="center"/>
            <w:hideMark/>
          </w:tcPr>
          <w:p w14:paraId="5854C383" w14:textId="576B39EB"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c>
          <w:tcPr>
            <w:tcW w:w="908" w:type="dxa"/>
            <w:tcBorders>
              <w:top w:val="single" w:sz="4" w:space="0" w:color="auto"/>
              <w:left w:val="single" w:sz="4" w:space="0" w:color="auto"/>
              <w:bottom w:val="single" w:sz="4" w:space="0" w:color="auto"/>
              <w:right w:val="single" w:sz="4" w:space="0" w:color="auto"/>
            </w:tcBorders>
            <w:noWrap/>
            <w:vAlign w:val="center"/>
            <w:hideMark/>
          </w:tcPr>
          <w:p w14:paraId="46DD63E3" w14:textId="4799D007" w:rsidR="00B22526" w:rsidRPr="00E356C0"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7150C2">
              <w:rPr>
                <w:b/>
                <w:sz w:val="13"/>
                <w:szCs w:val="13"/>
              </w:rPr>
              <w:t>REDACTED</w:t>
            </w:r>
          </w:p>
        </w:tc>
      </w:tr>
    </w:tbl>
    <w:p w14:paraId="639DDBC4" w14:textId="78AAB6A4" w:rsidR="00C0472B" w:rsidRDefault="00E909ED" w:rsidP="00C0472B">
      <w:r>
        <w:t xml:space="preserve">Negative </w:t>
      </w:r>
      <w:r w:rsidR="00C0472B">
        <w:t xml:space="preserve">values represent </w:t>
      </w:r>
      <w:r>
        <w:t xml:space="preserve">costs </w:t>
      </w:r>
      <w:r w:rsidR="00C0472B">
        <w:t>in the cost-benefit determination</w:t>
      </w:r>
      <w:r w:rsidR="00586840">
        <w:t>.</w:t>
      </w:r>
    </w:p>
    <w:p w14:paraId="3A04C6FE" w14:textId="77777777" w:rsidR="006D4FE2" w:rsidRDefault="006D4FE2" w:rsidP="00C0472B"/>
    <w:p w14:paraId="6452E17A" w14:textId="77777777" w:rsidR="00A52E43" w:rsidRPr="001068E1" w:rsidRDefault="00A52E43" w:rsidP="00A52E43">
      <w:pPr>
        <w:rPr>
          <w:b/>
        </w:rPr>
      </w:pPr>
      <w:r w:rsidRPr="001068E1">
        <w:rPr>
          <w:b/>
        </w:rPr>
        <w:t>Support Capacity</w:t>
      </w:r>
    </w:p>
    <w:p w14:paraId="5AA0F20A" w14:textId="4A63DB2A" w:rsidR="00A52E43" w:rsidRDefault="00507DAF" w:rsidP="00A52E43">
      <w:pPr>
        <w:ind w:firstLine="720"/>
      </w:pPr>
      <w:r>
        <w:t xml:space="preserve">In accord with </w:t>
      </w:r>
      <w:r w:rsidR="0062301F">
        <w:t xml:space="preserve">the </w:t>
      </w:r>
      <w:r w:rsidR="0052097F">
        <w:t>Framework</w:t>
      </w:r>
      <w:r>
        <w:t>, t</w:t>
      </w:r>
      <w:r w:rsidR="00A52E43">
        <w:t xml:space="preserve">he total amount of Support Capacity needed for each of </w:t>
      </w:r>
      <w:r w:rsidR="00E93DAC">
        <w:t>the distributed</w:t>
      </w:r>
      <w:r w:rsidR="00A52E43">
        <w:t xml:space="preserve"> solar </w:t>
      </w:r>
      <w:r w:rsidR="0062301F">
        <w:t xml:space="preserve">tranches </w:t>
      </w:r>
      <w:r w:rsidR="00A52E43">
        <w:t>was determined by calculating the sum of</w:t>
      </w:r>
      <w:r w:rsidR="001D1B06">
        <w:t>:</w:t>
      </w:r>
    </w:p>
    <w:p w14:paraId="6B7258F9" w14:textId="77777777" w:rsidR="00A52E43" w:rsidRDefault="00A52E43" w:rsidP="00A52E43">
      <w:pPr>
        <w:pStyle w:val="ListParagraph"/>
        <w:numPr>
          <w:ilvl w:val="0"/>
          <w:numId w:val="11"/>
        </w:numPr>
      </w:pPr>
      <w:r>
        <w:t>The incremental Regulating Reserve requirement</w:t>
      </w:r>
      <w:r w:rsidR="001D1B06">
        <w:t xml:space="preserve">; </w:t>
      </w:r>
    </w:p>
    <w:p w14:paraId="1CCC4584" w14:textId="77777777" w:rsidR="00A52E43" w:rsidRDefault="00A52E43" w:rsidP="00A52E43">
      <w:pPr>
        <w:pStyle w:val="ListParagraph"/>
        <w:numPr>
          <w:ilvl w:val="0"/>
          <w:numId w:val="11"/>
        </w:numPr>
      </w:pPr>
      <w:r>
        <w:t xml:space="preserve">The </w:t>
      </w:r>
      <w:r w:rsidR="00A978D9">
        <w:t>impact</w:t>
      </w:r>
      <w:r w:rsidR="009A5A95">
        <w:t xml:space="preserve"> of the</w:t>
      </w:r>
      <w:r w:rsidR="00A978D9">
        <w:t xml:space="preserve"> </w:t>
      </w:r>
      <w:r>
        <w:t xml:space="preserve">forecast error associated with the incremental distributed solar </w:t>
      </w:r>
      <w:r w:rsidR="00A978D9">
        <w:t>on expected unserved energy</w:t>
      </w:r>
      <w:r w:rsidR="001D1B06">
        <w:t xml:space="preserve">; </w:t>
      </w:r>
      <w:r>
        <w:t>and</w:t>
      </w:r>
    </w:p>
    <w:p w14:paraId="63939292" w14:textId="77777777" w:rsidR="00A52E43" w:rsidRDefault="00A52E43" w:rsidP="00A52E43">
      <w:pPr>
        <w:pStyle w:val="ListParagraph"/>
        <w:numPr>
          <w:ilvl w:val="0"/>
          <w:numId w:val="11"/>
        </w:numPr>
      </w:pPr>
      <w:r>
        <w:t xml:space="preserve">Any additional </w:t>
      </w:r>
      <w:r w:rsidR="00CE7935">
        <w:t xml:space="preserve">generation </w:t>
      </w:r>
      <w:r>
        <w:t>ramp requirement</w:t>
      </w:r>
      <w:r w:rsidR="00CE7935">
        <w:t>s</w:t>
      </w:r>
      <w:r>
        <w:t xml:space="preserve"> in excess of the forecast error amount.</w:t>
      </w:r>
    </w:p>
    <w:p w14:paraId="2F6ADF08" w14:textId="73DBA40F" w:rsidR="00E21EDE" w:rsidRDefault="00E74B4B" w:rsidP="00E93DAC">
      <w:pPr>
        <w:ind w:firstLine="720"/>
      </w:pPr>
      <w:r>
        <w:t xml:space="preserve">For each of the three </w:t>
      </w:r>
      <w:r w:rsidR="00433493">
        <w:t>factor</w:t>
      </w:r>
      <w:r>
        <w:t>s identified above, the impact</w:t>
      </w:r>
      <w:r w:rsidR="00433493">
        <w:t xml:space="preserve"> </w:t>
      </w:r>
      <w:r w:rsidR="00CE7935">
        <w:t xml:space="preserve">was </w:t>
      </w:r>
      <w:r w:rsidR="009A5A95">
        <w:t xml:space="preserve">determined according to the procedure and methodology set forth in the </w:t>
      </w:r>
      <w:r w:rsidR="0052097F">
        <w:t>Framework</w:t>
      </w:r>
      <w:r w:rsidR="009A5A95">
        <w:t xml:space="preserve">.  </w:t>
      </w:r>
    </w:p>
    <w:p w14:paraId="31FAF047" w14:textId="723C5D6B" w:rsidR="009A5A95" w:rsidRDefault="00A7373E" w:rsidP="00E93DAC">
      <w:pPr>
        <w:ind w:firstLine="720"/>
      </w:pPr>
      <w:r>
        <w:t>As identified in the Ancillary Services-Regulation section above, the Regulating Reserve portion of Support Capacity was determined to be 50MW per 1000MW solar tranche as shown in Table 21 below in the row labeled “</w:t>
      </w:r>
      <w:r w:rsidRPr="00A76AC5">
        <w:t>Regulation Impact</w:t>
      </w:r>
      <w:r>
        <w:t xml:space="preserve">.” </w:t>
      </w:r>
      <w:r w:rsidR="0061699B">
        <w:t>Strategist does not specifically model Regulation</w:t>
      </w:r>
      <w:r w:rsidR="00E93DAC">
        <w:t xml:space="preserve">.  </w:t>
      </w:r>
      <w:r w:rsidR="0061699B">
        <w:t xml:space="preserve">Therefore, </w:t>
      </w:r>
      <w:r w:rsidR="00D67433">
        <w:t xml:space="preserve">the capacity costs associated with </w:t>
      </w:r>
      <w:r w:rsidR="0061699B">
        <w:t>this 50MW Regulation requirement w</w:t>
      </w:r>
      <w:r w:rsidR="00D67433">
        <w:t xml:space="preserve">as valued at the ECC of a CT beginning in the year of need. </w:t>
      </w:r>
    </w:p>
    <w:p w14:paraId="02E09A61" w14:textId="10D8B7DA" w:rsidR="00D67433" w:rsidRDefault="008F0DAA" w:rsidP="009A5A95">
      <w:pPr>
        <w:ind w:firstLine="720"/>
      </w:pPr>
      <w:r>
        <w:t xml:space="preserve">Per the </w:t>
      </w:r>
      <w:r w:rsidR="0052097F">
        <w:t>Framework</w:t>
      </w:r>
      <w:r>
        <w:t>, t</w:t>
      </w:r>
      <w:r w:rsidR="009A5A95">
        <w:t xml:space="preserve">he </w:t>
      </w:r>
      <w:r w:rsidR="00CE7935">
        <w:t xml:space="preserve">Solar </w:t>
      </w:r>
      <w:r w:rsidR="009A5A95">
        <w:t xml:space="preserve">Forecast Error </w:t>
      </w:r>
      <w:r w:rsidR="00E21EDE">
        <w:t>portion of the Support Capacity</w:t>
      </w:r>
      <w:r w:rsidR="009A5A95">
        <w:t xml:space="preserve"> was determined by developing an 8760 solar forecast error table from the solar data in the EPRI Study.  A “persistent forecast” assumption</w:t>
      </w:r>
      <w:r w:rsidR="000470E4">
        <w:rPr>
          <w:rStyle w:val="FootnoteReference"/>
        </w:rPr>
        <w:footnoteReference w:id="13"/>
      </w:r>
      <w:r w:rsidR="009A5A95">
        <w:t xml:space="preserve"> was made from the data and a resulting assumed forecast error for each hour was determined.  </w:t>
      </w:r>
      <w:r w:rsidR="00D67433">
        <w:t xml:space="preserve">Although an 8760 forecast error profile was developed and used, Table </w:t>
      </w:r>
      <w:r w:rsidR="00E02BB5">
        <w:t>20</w:t>
      </w:r>
      <w:r w:rsidR="00D67433">
        <w:t xml:space="preserve"> shows the average hourly solar forecast error by month that was assumed for the analysis.</w:t>
      </w:r>
    </w:p>
    <w:p w14:paraId="43C48F93" w14:textId="77777777" w:rsidR="00D67433" w:rsidRPr="00E93DAC" w:rsidRDefault="00D67433" w:rsidP="00E93DAC">
      <w:pPr>
        <w:rPr>
          <w:b/>
        </w:rPr>
      </w:pPr>
      <w:r w:rsidRPr="001808FB">
        <w:rPr>
          <w:b/>
        </w:rPr>
        <w:lastRenderedPageBreak/>
        <w:t xml:space="preserve">Table </w:t>
      </w:r>
      <w:r w:rsidR="00E02BB5" w:rsidRPr="001808FB">
        <w:rPr>
          <w:b/>
        </w:rPr>
        <w:t>20</w:t>
      </w:r>
      <w:r w:rsidR="00233D29" w:rsidRPr="001808FB">
        <w:rPr>
          <w:b/>
        </w:rPr>
        <w:t>:</w:t>
      </w:r>
      <w:r w:rsidRPr="001808FB">
        <w:rPr>
          <w:b/>
        </w:rPr>
        <w:t xml:space="preserve"> </w:t>
      </w:r>
      <w:r w:rsidR="00787BF1" w:rsidRPr="001808FB">
        <w:rPr>
          <w:b/>
        </w:rPr>
        <w:t>Hourly Solar Forecast Error</w:t>
      </w:r>
    </w:p>
    <w:tbl>
      <w:tblPr>
        <w:tblStyle w:val="TableGrid"/>
        <w:tblW w:w="0" w:type="auto"/>
        <w:tblLook w:val="04A0" w:firstRow="1" w:lastRow="0" w:firstColumn="1" w:lastColumn="0" w:noHBand="0" w:noVBand="1"/>
      </w:tblPr>
      <w:tblGrid>
        <w:gridCol w:w="9576"/>
      </w:tblGrid>
      <w:tr w:rsidR="004B6C58" w14:paraId="58B322C4" w14:textId="77777777" w:rsidTr="002C5C9D">
        <w:tc>
          <w:tcPr>
            <w:tcW w:w="9576" w:type="dxa"/>
          </w:tcPr>
          <w:p w14:paraId="1F2100E6" w14:textId="77777777" w:rsidR="004B6C58" w:rsidRDefault="004B6C58" w:rsidP="002C5C9D">
            <w:pPr>
              <w:jc w:val="center"/>
            </w:pPr>
          </w:p>
          <w:p w14:paraId="4E0AAF12" w14:textId="77777777" w:rsidR="004B6C58" w:rsidRPr="004939B8" w:rsidRDefault="004B6C58" w:rsidP="002C5C9D">
            <w:pPr>
              <w:jc w:val="center"/>
              <w:rPr>
                <w:sz w:val="48"/>
                <w:szCs w:val="48"/>
              </w:rPr>
            </w:pPr>
          </w:p>
          <w:p w14:paraId="0AEB2DC5" w14:textId="77777777" w:rsidR="004B6C58" w:rsidRPr="004939B8" w:rsidRDefault="004B6C58" w:rsidP="002C5C9D">
            <w:pPr>
              <w:jc w:val="center"/>
              <w:rPr>
                <w:sz w:val="48"/>
                <w:szCs w:val="48"/>
              </w:rPr>
            </w:pPr>
          </w:p>
          <w:p w14:paraId="7B478514" w14:textId="77777777" w:rsidR="004B6C58" w:rsidRPr="004939B8" w:rsidRDefault="004B6C58" w:rsidP="002C5C9D">
            <w:pPr>
              <w:jc w:val="center"/>
              <w:rPr>
                <w:b/>
                <w:sz w:val="48"/>
                <w:szCs w:val="48"/>
              </w:rPr>
            </w:pPr>
            <w:r w:rsidRPr="004939B8">
              <w:rPr>
                <w:b/>
                <w:sz w:val="48"/>
                <w:szCs w:val="48"/>
              </w:rPr>
              <w:t>REDACTED</w:t>
            </w:r>
          </w:p>
          <w:p w14:paraId="512D5A9C" w14:textId="77777777" w:rsidR="004B6C58" w:rsidRPr="004939B8" w:rsidRDefault="004B6C58" w:rsidP="002C5C9D">
            <w:pPr>
              <w:jc w:val="center"/>
              <w:rPr>
                <w:sz w:val="48"/>
                <w:szCs w:val="48"/>
              </w:rPr>
            </w:pPr>
          </w:p>
          <w:p w14:paraId="53F9ECBC" w14:textId="77777777" w:rsidR="004B6C58" w:rsidRPr="004939B8" w:rsidRDefault="004B6C58" w:rsidP="002C5C9D">
            <w:pPr>
              <w:jc w:val="center"/>
              <w:rPr>
                <w:sz w:val="48"/>
                <w:szCs w:val="48"/>
              </w:rPr>
            </w:pPr>
          </w:p>
          <w:p w14:paraId="35FBCEE0" w14:textId="77777777" w:rsidR="004B6C58" w:rsidRPr="004939B8" w:rsidRDefault="004B6C58" w:rsidP="002C5C9D">
            <w:pPr>
              <w:jc w:val="center"/>
              <w:rPr>
                <w:sz w:val="48"/>
                <w:szCs w:val="48"/>
              </w:rPr>
            </w:pPr>
          </w:p>
          <w:p w14:paraId="183C3467" w14:textId="77777777" w:rsidR="004B6C58" w:rsidRDefault="004B6C58" w:rsidP="002C5C9D">
            <w:pPr>
              <w:jc w:val="center"/>
            </w:pPr>
          </w:p>
        </w:tc>
      </w:tr>
    </w:tbl>
    <w:p w14:paraId="25ECF8C5" w14:textId="77777777" w:rsidR="00787BF1" w:rsidRDefault="00787BF1" w:rsidP="009A5A95">
      <w:pPr>
        <w:ind w:firstLine="720"/>
      </w:pPr>
    </w:p>
    <w:p w14:paraId="0F106055" w14:textId="1BAD82D8" w:rsidR="008F0DAA" w:rsidRDefault="009A5A95" w:rsidP="009A5A95">
      <w:pPr>
        <w:ind w:firstLine="720"/>
      </w:pPr>
      <w:r>
        <w:t xml:space="preserve">This forecast error matrix was then applied to the </w:t>
      </w:r>
      <w:r w:rsidR="0062301F">
        <w:t>latest</w:t>
      </w:r>
      <w:r w:rsidR="001E1CA2">
        <w:t xml:space="preserve"> Loss of Load Probability table</w:t>
      </w:r>
      <w:r w:rsidR="001E1CA2">
        <w:rPr>
          <w:rStyle w:val="FootnoteReference"/>
        </w:rPr>
        <w:t xml:space="preserve"> </w:t>
      </w:r>
      <w:r w:rsidR="0062301F">
        <w:rPr>
          <w:rStyle w:val="FootnoteReference"/>
        </w:rPr>
        <w:footnoteReference w:id="14"/>
      </w:r>
      <w:r w:rsidR="0062301F">
        <w:t xml:space="preserve"> </w:t>
      </w:r>
      <w:r>
        <w:t xml:space="preserve">to determine the </w:t>
      </w:r>
      <w:r w:rsidR="00D67433">
        <w:t xml:space="preserve">expected </w:t>
      </w:r>
      <w:r>
        <w:t xml:space="preserve">impact </w:t>
      </w:r>
      <w:r w:rsidR="00D67433">
        <w:t xml:space="preserve">that </w:t>
      </w:r>
      <w:r>
        <w:t xml:space="preserve">the assumed solar forecast error </w:t>
      </w:r>
      <w:r w:rsidR="00D67433">
        <w:t xml:space="preserve">would have </w:t>
      </w:r>
      <w:r>
        <w:t xml:space="preserve">on expected unserved energy.  </w:t>
      </w:r>
      <w:r w:rsidR="00E21EDE">
        <w:t>T</w:t>
      </w:r>
      <w:r w:rsidR="00787BF1">
        <w:t xml:space="preserve">hat calculation </w:t>
      </w:r>
      <w:r w:rsidR="00E21EDE">
        <w:t xml:space="preserve">indicated that solar forecast error resulted in an impact to the solar capacity value of </w:t>
      </w:r>
      <w:r w:rsidR="005267D4">
        <w:rPr>
          <w:b/>
        </w:rPr>
        <w:t>REDACTED</w:t>
      </w:r>
      <w:r w:rsidRPr="005267D4">
        <w:t xml:space="preserve"> </w:t>
      </w:r>
      <w:r>
        <w:t xml:space="preserve">of the installed solar capacity.  In other words, for each 100MW of solar installed on the system, there is a need for </w:t>
      </w:r>
      <w:r w:rsidR="005267D4">
        <w:rPr>
          <w:b/>
        </w:rPr>
        <w:t>REDACTED</w:t>
      </w:r>
      <w:r>
        <w:t xml:space="preserve"> of “backup capacity” (in addition to the additional capacity needed for regulation) to restore the system to its previous level of </w:t>
      </w:r>
      <w:r w:rsidR="008F0DAA">
        <w:t>assumed reliability.</w:t>
      </w:r>
      <w:r w:rsidR="00000D78">
        <w:t xml:space="preserve">  This </w:t>
      </w:r>
      <w:r w:rsidR="005267D4">
        <w:rPr>
          <w:b/>
        </w:rPr>
        <w:t>REDACTED</w:t>
      </w:r>
      <w:r w:rsidR="00000D78">
        <w:t xml:space="preserve"> was applied to each 1000MW solar tranche to determine the amount of Support Capacity needed as a result of solar forecast error </w:t>
      </w:r>
      <w:r w:rsidR="00445756">
        <w:t xml:space="preserve">and is </w:t>
      </w:r>
      <w:r w:rsidR="00000D78">
        <w:t xml:space="preserve">shown in </w:t>
      </w:r>
      <w:r w:rsidR="00445756">
        <w:t>T</w:t>
      </w:r>
      <w:r w:rsidR="00000D78">
        <w:t xml:space="preserve">able </w:t>
      </w:r>
      <w:r w:rsidR="00445756">
        <w:t xml:space="preserve">21 </w:t>
      </w:r>
      <w:r w:rsidR="00000D78">
        <w:t>below in the row labeled “</w:t>
      </w:r>
      <w:r w:rsidR="002F489B" w:rsidRPr="00A76AC5">
        <w:t>Forecast Error Impact</w:t>
      </w:r>
      <w:r w:rsidR="00A7373E" w:rsidRPr="00A76AC5">
        <w:t>.”</w:t>
      </w:r>
    </w:p>
    <w:p w14:paraId="43CAAF35" w14:textId="76DE9218" w:rsidR="008F0DAA" w:rsidRDefault="00E21EDE" w:rsidP="009A5A95">
      <w:pPr>
        <w:ind w:firstLine="720"/>
      </w:pPr>
      <w:r>
        <w:t>T</w:t>
      </w:r>
      <w:r w:rsidR="008F0DAA">
        <w:t xml:space="preserve">he incremental </w:t>
      </w:r>
      <w:r w:rsidR="00CE7935">
        <w:t xml:space="preserve">generation </w:t>
      </w:r>
      <w:r w:rsidR="008F0DAA">
        <w:t>ramp</w:t>
      </w:r>
      <w:r>
        <w:t xml:space="preserve"> portion of the Support Capacity</w:t>
      </w:r>
      <w:r w:rsidR="008F0DAA">
        <w:t xml:space="preserve"> was determined by comparing the maximum 3-hour </w:t>
      </w:r>
      <w:r w:rsidR="00CE7935">
        <w:t xml:space="preserve">generation </w:t>
      </w:r>
      <w:r w:rsidR="008F0DAA">
        <w:t xml:space="preserve">ramp of the </w:t>
      </w:r>
      <w:r>
        <w:t xml:space="preserve">load forecast </w:t>
      </w:r>
      <w:r w:rsidR="00353442">
        <w:t>starting in 2020</w:t>
      </w:r>
      <w:r w:rsidR="008F0DAA">
        <w:t xml:space="preserve"> with the maximum 3-hour </w:t>
      </w:r>
      <w:r w:rsidR="00CE7935">
        <w:t xml:space="preserve">generation </w:t>
      </w:r>
      <w:r w:rsidR="008F0DAA">
        <w:t xml:space="preserve">ramp net of </w:t>
      </w:r>
      <w:r>
        <w:t xml:space="preserve">each of </w:t>
      </w:r>
      <w:r w:rsidR="008F0DAA">
        <w:t xml:space="preserve">the solar </w:t>
      </w:r>
      <w:r w:rsidR="007F4FC0">
        <w:t>tranche</w:t>
      </w:r>
      <w:r>
        <w:t>s</w:t>
      </w:r>
      <w:r w:rsidR="00E93DAC">
        <w:t xml:space="preserve">.  </w:t>
      </w:r>
      <w:r>
        <w:t>Any increase in ramp over the base case reflected an assumed need for incremental ramping generation</w:t>
      </w:r>
      <w:r w:rsidR="001E1CA2">
        <w:t>,</w:t>
      </w:r>
      <w:r w:rsidR="004F54EF">
        <w:t xml:space="preserve"> shown in Table 21 below as “Total Ramp Impact</w:t>
      </w:r>
      <w:r w:rsidR="00A7373E">
        <w:t>.”</w:t>
      </w:r>
      <w:r>
        <w:t xml:space="preserve">  The ramping portion of the Support Capacity was assumed to be able to perform “double duty” with the solar forecast error portion of Support Capacity to the extent that incremental ramping capacity was only added when the identified need exceeded the identified capacity associated with solar forecast error. </w:t>
      </w:r>
      <w:r w:rsidR="00000D78">
        <w:t xml:space="preserve"> </w:t>
      </w:r>
      <w:r w:rsidR="004F54EF">
        <w:t xml:space="preserve">This is </w:t>
      </w:r>
      <w:r w:rsidR="00000D78">
        <w:t xml:space="preserve">shown in </w:t>
      </w:r>
      <w:r w:rsidR="004F54EF">
        <w:t>T</w:t>
      </w:r>
      <w:r w:rsidR="00000D78">
        <w:t xml:space="preserve">able </w:t>
      </w:r>
      <w:r w:rsidR="004F54EF">
        <w:t xml:space="preserve">21 </w:t>
      </w:r>
      <w:r w:rsidR="00000D78">
        <w:t xml:space="preserve">below in </w:t>
      </w:r>
      <w:r w:rsidR="004F54EF">
        <w:t>as</w:t>
      </w:r>
      <w:r w:rsidR="00000D78">
        <w:t xml:space="preserve"> </w:t>
      </w:r>
      <w:r w:rsidR="00000D78" w:rsidRPr="00A76AC5">
        <w:t>“</w:t>
      </w:r>
      <w:r w:rsidR="002F489B" w:rsidRPr="00A76AC5">
        <w:t xml:space="preserve">Generation Ramp </w:t>
      </w:r>
      <w:r w:rsidR="004F54EF">
        <w:t>Need</w:t>
      </w:r>
      <w:r w:rsidR="00A7373E" w:rsidRPr="00A76AC5">
        <w:t>.”</w:t>
      </w:r>
      <w:r w:rsidR="004F54EF">
        <w:t xml:space="preserve">  Therefore, “Total Ramp Impact” shows the total incremental generation ramping impact but only that amount shown as “Generation Ramp Need” actually impacted the Support Capacity calculation.</w:t>
      </w:r>
    </w:p>
    <w:p w14:paraId="744D9BF4" w14:textId="77777777" w:rsidR="00A52E43" w:rsidRDefault="00507DAF" w:rsidP="009A5A95">
      <w:pPr>
        <w:ind w:firstLine="720"/>
      </w:pPr>
      <w:r>
        <w:t xml:space="preserve">Table </w:t>
      </w:r>
      <w:r w:rsidR="00E02BB5">
        <w:t>21</w:t>
      </w:r>
      <w:r w:rsidR="00E16FE4">
        <w:t xml:space="preserve"> </w:t>
      </w:r>
      <w:r w:rsidR="009A5A95">
        <w:t xml:space="preserve">below shows the results of </w:t>
      </w:r>
      <w:r w:rsidR="008F0DAA">
        <w:t xml:space="preserve">the determination of the incremental </w:t>
      </w:r>
      <w:r w:rsidR="00CE7935">
        <w:t xml:space="preserve">Regulating </w:t>
      </w:r>
      <w:r w:rsidR="00433493">
        <w:t>Reserve requirement</w:t>
      </w:r>
      <w:r w:rsidR="008F0DAA">
        <w:t xml:space="preserve">, </w:t>
      </w:r>
      <w:r w:rsidR="00CE7935">
        <w:t xml:space="preserve">Solar </w:t>
      </w:r>
      <w:r w:rsidR="008F0DAA">
        <w:t xml:space="preserve">Forecast Error impact, and </w:t>
      </w:r>
      <w:r w:rsidR="00CE7935">
        <w:t xml:space="preserve">incremental Generating </w:t>
      </w:r>
      <w:r w:rsidR="008F0DAA">
        <w:t xml:space="preserve">Ramp requirement for each of </w:t>
      </w:r>
      <w:r w:rsidR="008F0DAA">
        <w:lastRenderedPageBreak/>
        <w:t xml:space="preserve">the 1000MW </w:t>
      </w:r>
      <w:r w:rsidR="00433493">
        <w:t xml:space="preserve">solar </w:t>
      </w:r>
      <w:r w:rsidR="00000D78">
        <w:t>tranches</w:t>
      </w:r>
      <w:r w:rsidR="008F0DAA">
        <w:t xml:space="preserve">.  Together, these represent the Support Capacity requirements for each solar </w:t>
      </w:r>
      <w:r w:rsidR="00000D78">
        <w:t>tranche</w:t>
      </w:r>
      <w:r w:rsidR="008F0DAA">
        <w:t>.</w:t>
      </w:r>
    </w:p>
    <w:p w14:paraId="6064D966" w14:textId="77777777" w:rsidR="00634244" w:rsidRDefault="00634244" w:rsidP="00507DAF"/>
    <w:p w14:paraId="17F4FE57" w14:textId="77777777" w:rsidR="009A5A95" w:rsidRPr="009A5A95" w:rsidRDefault="009A5A95" w:rsidP="00507DAF">
      <w:pPr>
        <w:rPr>
          <w:b/>
        </w:rPr>
      </w:pPr>
      <w:r w:rsidRPr="009A5A95">
        <w:rPr>
          <w:b/>
        </w:rPr>
        <w:t xml:space="preserve">Table </w:t>
      </w:r>
      <w:r w:rsidR="00E02BB5">
        <w:rPr>
          <w:b/>
        </w:rPr>
        <w:t>21</w:t>
      </w:r>
      <w:r w:rsidR="00000D78">
        <w:rPr>
          <w:b/>
        </w:rPr>
        <w:t>:</w:t>
      </w:r>
      <w:r w:rsidR="00000D78" w:rsidRPr="009A5A95">
        <w:rPr>
          <w:b/>
        </w:rPr>
        <w:t xml:space="preserve">  </w:t>
      </w:r>
      <w:r w:rsidRPr="009A5A95">
        <w:rPr>
          <w:b/>
        </w:rPr>
        <w:t xml:space="preserve">Incremental </w:t>
      </w:r>
      <w:r w:rsidR="00CE7935">
        <w:rPr>
          <w:b/>
        </w:rPr>
        <w:t xml:space="preserve">Support </w:t>
      </w:r>
      <w:r w:rsidRPr="009A5A95">
        <w:rPr>
          <w:b/>
        </w:rPr>
        <w:t xml:space="preserve">Capacity Requirements by Solar </w:t>
      </w:r>
      <w:r w:rsidR="00000D78">
        <w:rPr>
          <w:b/>
        </w:rPr>
        <w:t>Tranche</w:t>
      </w:r>
      <w:r w:rsidR="006156DF">
        <w:rPr>
          <w:b/>
        </w:rPr>
        <w:t xml:space="preserve"> (MW)</w:t>
      </w:r>
    </w:p>
    <w:tbl>
      <w:tblPr>
        <w:tblStyle w:val="LightList-Accent1"/>
        <w:tblW w:w="0" w:type="auto"/>
        <w:tblLook w:val="04A0" w:firstRow="1" w:lastRow="0" w:firstColumn="1" w:lastColumn="0" w:noHBand="0" w:noVBand="1"/>
      </w:tblPr>
      <w:tblGrid>
        <w:gridCol w:w="2624"/>
        <w:gridCol w:w="869"/>
        <w:gridCol w:w="869"/>
        <w:gridCol w:w="869"/>
        <w:gridCol w:w="869"/>
        <w:gridCol w:w="869"/>
        <w:gridCol w:w="869"/>
        <w:gridCol w:w="869"/>
        <w:gridCol w:w="869"/>
      </w:tblGrid>
      <w:tr w:rsidR="00B24877" w:rsidRPr="00B24877" w14:paraId="45A33D4A" w14:textId="77777777" w:rsidTr="00E21E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CCE12BE" w14:textId="77777777" w:rsidR="00B24877" w:rsidRPr="009D0009" w:rsidRDefault="00B24877" w:rsidP="00000D78">
            <w:pPr>
              <w:rPr>
                <w:sz w:val="20"/>
                <w:szCs w:val="20"/>
              </w:rPr>
            </w:pPr>
            <w:r w:rsidRPr="009D0009">
              <w:rPr>
                <w:sz w:val="20"/>
                <w:szCs w:val="20"/>
              </w:rPr>
              <w:t xml:space="preserve">Solar </w:t>
            </w:r>
            <w:r w:rsidR="00000D78" w:rsidRPr="009D0009">
              <w:rPr>
                <w:sz w:val="20"/>
                <w:szCs w:val="20"/>
              </w:rPr>
              <w:t>Tranche</w:t>
            </w:r>
          </w:p>
        </w:tc>
        <w:tc>
          <w:tcPr>
            <w:tcW w:w="869" w:type="dxa"/>
            <w:noWrap/>
            <w:hideMark/>
          </w:tcPr>
          <w:p w14:paraId="78B1D345"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1000</w:t>
            </w:r>
          </w:p>
        </w:tc>
        <w:tc>
          <w:tcPr>
            <w:tcW w:w="869" w:type="dxa"/>
            <w:noWrap/>
            <w:hideMark/>
          </w:tcPr>
          <w:p w14:paraId="5902EC82"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2000</w:t>
            </w:r>
          </w:p>
        </w:tc>
        <w:tc>
          <w:tcPr>
            <w:tcW w:w="869" w:type="dxa"/>
            <w:noWrap/>
            <w:hideMark/>
          </w:tcPr>
          <w:p w14:paraId="60382D63"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3000</w:t>
            </w:r>
          </w:p>
        </w:tc>
        <w:tc>
          <w:tcPr>
            <w:tcW w:w="869" w:type="dxa"/>
            <w:noWrap/>
            <w:hideMark/>
          </w:tcPr>
          <w:p w14:paraId="663219F6"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4000</w:t>
            </w:r>
          </w:p>
        </w:tc>
        <w:tc>
          <w:tcPr>
            <w:tcW w:w="869" w:type="dxa"/>
            <w:noWrap/>
            <w:hideMark/>
          </w:tcPr>
          <w:p w14:paraId="2B1ADAE5"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5000</w:t>
            </w:r>
          </w:p>
        </w:tc>
        <w:tc>
          <w:tcPr>
            <w:tcW w:w="869" w:type="dxa"/>
            <w:noWrap/>
            <w:hideMark/>
          </w:tcPr>
          <w:p w14:paraId="404C4594"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6000</w:t>
            </w:r>
          </w:p>
        </w:tc>
        <w:tc>
          <w:tcPr>
            <w:tcW w:w="869" w:type="dxa"/>
            <w:noWrap/>
            <w:hideMark/>
          </w:tcPr>
          <w:p w14:paraId="4916160F"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7000</w:t>
            </w:r>
          </w:p>
        </w:tc>
        <w:tc>
          <w:tcPr>
            <w:tcW w:w="869" w:type="dxa"/>
            <w:noWrap/>
            <w:hideMark/>
          </w:tcPr>
          <w:p w14:paraId="6F590860" w14:textId="77777777" w:rsidR="00B24877" w:rsidRPr="009D0009" w:rsidRDefault="00E74B4B" w:rsidP="00BC678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8000</w:t>
            </w:r>
          </w:p>
        </w:tc>
      </w:tr>
      <w:tr w:rsidR="00B22526" w:rsidRPr="00B24877" w14:paraId="43B4E563"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227327CF" w14:textId="77777777" w:rsidR="00B22526" w:rsidRPr="009D0009" w:rsidRDefault="00B22526" w:rsidP="00E21EDE">
            <w:pPr>
              <w:rPr>
                <w:sz w:val="20"/>
                <w:szCs w:val="20"/>
              </w:rPr>
            </w:pPr>
            <w:r w:rsidRPr="009D0009">
              <w:rPr>
                <w:sz w:val="20"/>
                <w:szCs w:val="20"/>
              </w:rPr>
              <w:t>Regulation Impact</w:t>
            </w:r>
          </w:p>
        </w:tc>
        <w:tc>
          <w:tcPr>
            <w:tcW w:w="869" w:type="dxa"/>
            <w:noWrap/>
            <w:vAlign w:val="center"/>
            <w:hideMark/>
          </w:tcPr>
          <w:p w14:paraId="36CB0791" w14:textId="72CE6658"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25EE1793" w14:textId="73393AF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3A0B2A56" w14:textId="75975537"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5963E71A" w14:textId="49AD103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68A5C3AF" w14:textId="0F5339B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3A50F85A" w14:textId="06D8E185"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4F545E20" w14:textId="495050DB"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72ABCBC3" w14:textId="293ABB7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330BEA">
              <w:rPr>
                <w:b/>
                <w:sz w:val="13"/>
                <w:szCs w:val="13"/>
              </w:rPr>
              <w:t>REDACTED</w:t>
            </w:r>
          </w:p>
        </w:tc>
      </w:tr>
      <w:tr w:rsidR="00B22526" w:rsidRPr="00B24877" w14:paraId="6BE5E5D1" w14:textId="77777777" w:rsidTr="0004165E">
        <w:trPr>
          <w:trHeight w:val="300"/>
        </w:trPr>
        <w:tc>
          <w:tcPr>
            <w:cnfStyle w:val="001000000000" w:firstRow="0" w:lastRow="0" w:firstColumn="1" w:lastColumn="0" w:oddVBand="0" w:evenVBand="0" w:oddHBand="0" w:evenHBand="0" w:firstRowFirstColumn="0" w:firstRowLastColumn="0" w:lastRowFirstColumn="0" w:lastRowLastColumn="0"/>
            <w:tcW w:w="2624" w:type="dxa"/>
            <w:noWrap/>
            <w:hideMark/>
          </w:tcPr>
          <w:p w14:paraId="0DD0CFE0" w14:textId="77777777" w:rsidR="00B22526" w:rsidRPr="009D0009" w:rsidRDefault="00B22526" w:rsidP="00B24877">
            <w:pPr>
              <w:rPr>
                <w:sz w:val="20"/>
                <w:szCs w:val="20"/>
              </w:rPr>
            </w:pPr>
            <w:r w:rsidRPr="009D0009">
              <w:rPr>
                <w:sz w:val="20"/>
                <w:szCs w:val="20"/>
              </w:rPr>
              <w:t>Forecast Error Impact</w:t>
            </w:r>
          </w:p>
        </w:tc>
        <w:tc>
          <w:tcPr>
            <w:tcW w:w="869" w:type="dxa"/>
            <w:noWrap/>
            <w:vAlign w:val="center"/>
            <w:hideMark/>
          </w:tcPr>
          <w:p w14:paraId="1EC36DBD" w14:textId="4D36E999"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4A55A953" w14:textId="4EAC67DA"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534DC1CC" w14:textId="4718E4CC"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6910977B" w14:textId="210E2E58"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3C904ADC" w14:textId="38149D57"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0694B976" w14:textId="09E4F55D"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129B87B0" w14:textId="2FA5B3B3"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hideMark/>
          </w:tcPr>
          <w:p w14:paraId="73B117AB" w14:textId="02EB9560"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r>
      <w:tr w:rsidR="00B22526" w:rsidRPr="00B24877" w14:paraId="6AAAF2D6"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4" w:type="dxa"/>
            <w:shd w:val="clear" w:color="auto" w:fill="C6D9F1" w:themeFill="text2" w:themeFillTint="33"/>
            <w:noWrap/>
            <w:hideMark/>
          </w:tcPr>
          <w:p w14:paraId="6DAE75F0" w14:textId="77777777" w:rsidR="00B22526" w:rsidRPr="009D0009" w:rsidRDefault="00B22526" w:rsidP="004F54EF">
            <w:pPr>
              <w:rPr>
                <w:color w:val="7F7F7F" w:themeColor="text1" w:themeTint="80"/>
                <w:sz w:val="20"/>
                <w:szCs w:val="20"/>
              </w:rPr>
            </w:pPr>
            <w:r w:rsidRPr="009D0009">
              <w:rPr>
                <w:color w:val="7F7F7F" w:themeColor="text1" w:themeTint="80"/>
                <w:sz w:val="20"/>
                <w:szCs w:val="20"/>
              </w:rPr>
              <w:t xml:space="preserve">     Total Ramp Impact</w:t>
            </w:r>
          </w:p>
        </w:tc>
        <w:tc>
          <w:tcPr>
            <w:tcW w:w="869" w:type="dxa"/>
            <w:shd w:val="clear" w:color="auto" w:fill="C6D9F1" w:themeFill="text2" w:themeFillTint="33"/>
            <w:noWrap/>
            <w:vAlign w:val="center"/>
            <w:hideMark/>
          </w:tcPr>
          <w:p w14:paraId="58EF717F" w14:textId="22CE31F5"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74E1F1F8" w14:textId="5B5F52AE"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1B0CB952" w14:textId="72F3C36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522E4CCA" w14:textId="0C9C8A0F"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5544BE98" w14:textId="6C691F1D"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4950A58F" w14:textId="17DB882F"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35EC3EB5" w14:textId="5C043516"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c>
          <w:tcPr>
            <w:tcW w:w="869" w:type="dxa"/>
            <w:shd w:val="clear" w:color="auto" w:fill="C6D9F1" w:themeFill="text2" w:themeFillTint="33"/>
            <w:noWrap/>
            <w:vAlign w:val="center"/>
            <w:hideMark/>
          </w:tcPr>
          <w:p w14:paraId="432E84D7" w14:textId="287567CF"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highlight w:val="yellow"/>
              </w:rPr>
            </w:pPr>
            <w:r w:rsidRPr="00330BEA">
              <w:rPr>
                <w:b/>
                <w:sz w:val="13"/>
                <w:szCs w:val="13"/>
              </w:rPr>
              <w:t>REDACTED</w:t>
            </w:r>
          </w:p>
        </w:tc>
      </w:tr>
      <w:tr w:rsidR="00B22526" w:rsidRPr="00B24877" w14:paraId="6CF7C89A" w14:textId="77777777" w:rsidTr="0004165E">
        <w:trPr>
          <w:trHeight w:val="300"/>
        </w:trPr>
        <w:tc>
          <w:tcPr>
            <w:cnfStyle w:val="001000000000" w:firstRow="0" w:lastRow="0" w:firstColumn="1" w:lastColumn="0" w:oddVBand="0" w:evenVBand="0" w:oddHBand="0" w:evenHBand="0" w:firstRowFirstColumn="0" w:firstRowLastColumn="0" w:lastRowFirstColumn="0" w:lastRowLastColumn="0"/>
            <w:tcW w:w="2624" w:type="dxa"/>
            <w:noWrap/>
          </w:tcPr>
          <w:p w14:paraId="3B32E791" w14:textId="77777777" w:rsidR="00B22526" w:rsidRPr="009D0009" w:rsidRDefault="00B22526" w:rsidP="004F54EF">
            <w:pPr>
              <w:rPr>
                <w:sz w:val="20"/>
                <w:szCs w:val="20"/>
              </w:rPr>
            </w:pPr>
            <w:r w:rsidRPr="009D0009">
              <w:rPr>
                <w:sz w:val="20"/>
                <w:szCs w:val="20"/>
              </w:rPr>
              <w:t>Generation Ramp Need</w:t>
            </w:r>
          </w:p>
        </w:tc>
        <w:tc>
          <w:tcPr>
            <w:tcW w:w="869" w:type="dxa"/>
            <w:noWrap/>
            <w:vAlign w:val="center"/>
          </w:tcPr>
          <w:p w14:paraId="2AEA67C4" w14:textId="3B1C295F"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7D9B859E" w14:textId="426BEBB1"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5262002C" w14:textId="413DB866"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14AD88E7" w14:textId="77D7E563"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6069D57D" w14:textId="3087F9FB"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573018DD" w14:textId="6B8DE520"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6B36CB2C" w14:textId="3D9BFFC0"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c>
          <w:tcPr>
            <w:tcW w:w="869" w:type="dxa"/>
            <w:noWrap/>
            <w:vAlign w:val="center"/>
          </w:tcPr>
          <w:p w14:paraId="301D3E9D" w14:textId="24AF3DA5"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30BEA">
              <w:rPr>
                <w:b/>
                <w:sz w:val="13"/>
                <w:szCs w:val="13"/>
              </w:rPr>
              <w:t>REDACTED</w:t>
            </w:r>
          </w:p>
        </w:tc>
      </w:tr>
    </w:tbl>
    <w:p w14:paraId="78D7A54B" w14:textId="77777777" w:rsidR="009A5A95" w:rsidRDefault="009A5A95" w:rsidP="00507DAF"/>
    <w:p w14:paraId="03ED16ED" w14:textId="3F4B22D8" w:rsidR="00C317E6" w:rsidRDefault="00A52E43" w:rsidP="00A52E43">
      <w:pPr>
        <w:ind w:firstLine="720"/>
      </w:pPr>
      <w:r>
        <w:t xml:space="preserve">These Support Capacity requirements were </w:t>
      </w:r>
      <w:r w:rsidR="00CE7935">
        <w:t>added to</w:t>
      </w:r>
      <w:r>
        <w:t xml:space="preserve"> </w:t>
      </w:r>
      <w:r w:rsidR="00000D78">
        <w:t xml:space="preserve">Strategist </w:t>
      </w:r>
      <w:r>
        <w:t xml:space="preserve">to determine – relative to the </w:t>
      </w:r>
      <w:r w:rsidR="00000D78">
        <w:t xml:space="preserve">Strategist </w:t>
      </w:r>
      <w:r>
        <w:t xml:space="preserve">case with the distributed solar </w:t>
      </w:r>
      <w:r w:rsidR="00000D78">
        <w:t xml:space="preserve">tranche </w:t>
      </w:r>
      <w:r>
        <w:t>added</w:t>
      </w:r>
      <w:r w:rsidR="00586840">
        <w:t xml:space="preserve"> –</w:t>
      </w:r>
      <w:r>
        <w:t xml:space="preserve"> any advancement costs</w:t>
      </w:r>
      <w:r w:rsidR="006156DF">
        <w:t xml:space="preserve"> (or deferral benefits)</w:t>
      </w:r>
      <w:r>
        <w:t xml:space="preserve"> associated with the</w:t>
      </w:r>
      <w:r w:rsidR="00CE7935">
        <w:t xml:space="preserve"> </w:t>
      </w:r>
      <w:r w:rsidR="006156DF">
        <w:t>addition</w:t>
      </w:r>
      <w:r w:rsidR="00CE7935">
        <w:t xml:space="preserve"> of the</w:t>
      </w:r>
      <w:r>
        <w:t>se requirements.</w:t>
      </w:r>
      <w:r w:rsidR="008F0DAA">
        <w:t xml:space="preserve">  The difference in resulting capital costs between each solar </w:t>
      </w:r>
      <w:r w:rsidR="00000D78">
        <w:t xml:space="preserve">tranche </w:t>
      </w:r>
      <w:r w:rsidR="008F0DAA">
        <w:t>case and their respective base case</w:t>
      </w:r>
      <w:r w:rsidR="00433493">
        <w:t>s</w:t>
      </w:r>
      <w:r w:rsidR="008F0DAA">
        <w:t xml:space="preserve"> represents the capital cost associated with Support </w:t>
      </w:r>
      <w:r w:rsidR="00000D78">
        <w:t>Capacity</w:t>
      </w:r>
      <w:r w:rsidR="008F0DAA">
        <w:t>.</w:t>
      </w:r>
      <w:r w:rsidR="00B24877">
        <w:t xml:space="preserve">  </w:t>
      </w:r>
      <w:r w:rsidR="00C317E6">
        <w:t xml:space="preserve">Table </w:t>
      </w:r>
      <w:r w:rsidR="00B359D6">
        <w:t>2</w:t>
      </w:r>
      <w:r w:rsidR="00E02BB5">
        <w:t>2</w:t>
      </w:r>
      <w:r w:rsidR="00095F47">
        <w:t xml:space="preserve"> </w:t>
      </w:r>
      <w:r w:rsidR="00C317E6">
        <w:t xml:space="preserve">below shows the NPV differences in capital costs for each solar </w:t>
      </w:r>
      <w:r w:rsidR="00000D78">
        <w:t>tranche</w:t>
      </w:r>
      <w:r w:rsidR="00C317E6">
        <w:t>.</w:t>
      </w:r>
    </w:p>
    <w:p w14:paraId="39952C22" w14:textId="77777777" w:rsidR="00C317E6" w:rsidRDefault="00C317E6" w:rsidP="00A52E43">
      <w:pPr>
        <w:ind w:firstLine="720"/>
      </w:pPr>
    </w:p>
    <w:p w14:paraId="2ACAEA5F" w14:textId="77777777" w:rsidR="00C317E6" w:rsidRPr="00D1093E" w:rsidRDefault="00C317E6" w:rsidP="00C317E6">
      <w:pPr>
        <w:rPr>
          <w:b/>
        </w:rPr>
      </w:pPr>
      <w:r w:rsidRPr="00D1093E">
        <w:rPr>
          <w:b/>
        </w:rPr>
        <w:t xml:space="preserve">Table </w:t>
      </w:r>
      <w:r w:rsidR="006156DF">
        <w:rPr>
          <w:b/>
        </w:rPr>
        <w:t>2</w:t>
      </w:r>
      <w:r w:rsidR="00E02BB5">
        <w:rPr>
          <w:b/>
        </w:rPr>
        <w:t>2</w:t>
      </w:r>
      <w:r w:rsidR="00000D78">
        <w:rPr>
          <w:b/>
        </w:rPr>
        <w:t>:</w:t>
      </w:r>
      <w:r w:rsidR="00000D78" w:rsidRPr="00D1093E">
        <w:rPr>
          <w:b/>
        </w:rPr>
        <w:t xml:space="preserve"> </w:t>
      </w:r>
      <w:r w:rsidRPr="00D1093E">
        <w:rPr>
          <w:b/>
        </w:rPr>
        <w:t>Support Capacity Capital Costs</w:t>
      </w:r>
      <w:r w:rsidR="006156DF">
        <w:rPr>
          <w:b/>
        </w:rPr>
        <w:t xml:space="preserve"> (Millions of Dollars</w:t>
      </w:r>
      <w:r>
        <w:rPr>
          <w:b/>
        </w:rPr>
        <w:t>)</w:t>
      </w:r>
    </w:p>
    <w:tbl>
      <w:tblPr>
        <w:tblStyle w:val="LightList-Accent1"/>
        <w:tblW w:w="0" w:type="auto"/>
        <w:tblLook w:val="04A0" w:firstRow="1" w:lastRow="0" w:firstColumn="1" w:lastColumn="0" w:noHBand="0" w:noVBand="1"/>
      </w:tblPr>
      <w:tblGrid>
        <w:gridCol w:w="2647"/>
        <w:gridCol w:w="867"/>
        <w:gridCol w:w="866"/>
        <w:gridCol w:w="866"/>
        <w:gridCol w:w="866"/>
        <w:gridCol w:w="866"/>
        <w:gridCol w:w="866"/>
        <w:gridCol w:w="866"/>
        <w:gridCol w:w="866"/>
      </w:tblGrid>
      <w:tr w:rsidR="00095F47" w:rsidRPr="00C317E6" w14:paraId="1B7F1ED1" w14:textId="77777777" w:rsidTr="00C317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458E0611" w14:textId="77777777" w:rsidR="00C317E6" w:rsidRPr="009D0009" w:rsidRDefault="00C317E6" w:rsidP="00000D78">
            <w:pPr>
              <w:rPr>
                <w:sz w:val="20"/>
                <w:szCs w:val="20"/>
              </w:rPr>
            </w:pPr>
            <w:r w:rsidRPr="009D0009">
              <w:rPr>
                <w:sz w:val="20"/>
                <w:szCs w:val="20"/>
              </w:rPr>
              <w:t xml:space="preserve">Solar </w:t>
            </w:r>
            <w:r w:rsidR="00000D78" w:rsidRPr="009D0009">
              <w:rPr>
                <w:sz w:val="20"/>
                <w:szCs w:val="20"/>
              </w:rPr>
              <w:t>Tranche</w:t>
            </w:r>
          </w:p>
        </w:tc>
        <w:tc>
          <w:tcPr>
            <w:tcW w:w="867" w:type="dxa"/>
            <w:noWrap/>
            <w:hideMark/>
          </w:tcPr>
          <w:p w14:paraId="748BA5EB"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1000</w:t>
            </w:r>
          </w:p>
        </w:tc>
        <w:tc>
          <w:tcPr>
            <w:tcW w:w="866" w:type="dxa"/>
            <w:noWrap/>
            <w:hideMark/>
          </w:tcPr>
          <w:p w14:paraId="2C693038"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2000</w:t>
            </w:r>
          </w:p>
        </w:tc>
        <w:tc>
          <w:tcPr>
            <w:tcW w:w="866" w:type="dxa"/>
            <w:noWrap/>
            <w:hideMark/>
          </w:tcPr>
          <w:p w14:paraId="5A6B93F5"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3000</w:t>
            </w:r>
          </w:p>
        </w:tc>
        <w:tc>
          <w:tcPr>
            <w:tcW w:w="866" w:type="dxa"/>
            <w:noWrap/>
            <w:hideMark/>
          </w:tcPr>
          <w:p w14:paraId="6C180002"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4000</w:t>
            </w:r>
          </w:p>
        </w:tc>
        <w:tc>
          <w:tcPr>
            <w:tcW w:w="866" w:type="dxa"/>
            <w:noWrap/>
            <w:hideMark/>
          </w:tcPr>
          <w:p w14:paraId="6FC53D0B"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5000</w:t>
            </w:r>
          </w:p>
        </w:tc>
        <w:tc>
          <w:tcPr>
            <w:tcW w:w="866" w:type="dxa"/>
            <w:noWrap/>
            <w:hideMark/>
          </w:tcPr>
          <w:p w14:paraId="7CC3B39F"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6000</w:t>
            </w:r>
          </w:p>
        </w:tc>
        <w:tc>
          <w:tcPr>
            <w:tcW w:w="866" w:type="dxa"/>
            <w:noWrap/>
            <w:hideMark/>
          </w:tcPr>
          <w:p w14:paraId="7ACED8DD"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7000</w:t>
            </w:r>
          </w:p>
        </w:tc>
        <w:tc>
          <w:tcPr>
            <w:tcW w:w="866" w:type="dxa"/>
            <w:noWrap/>
            <w:hideMark/>
          </w:tcPr>
          <w:p w14:paraId="6C628B19" w14:textId="77777777" w:rsidR="00C317E6" w:rsidRPr="009D0009" w:rsidRDefault="00E74B4B" w:rsidP="00095F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8000</w:t>
            </w:r>
          </w:p>
        </w:tc>
      </w:tr>
      <w:tr w:rsidR="00B22526" w:rsidRPr="00C317E6" w14:paraId="69E8E7AC"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76CDFE95" w14:textId="77777777" w:rsidR="00B22526" w:rsidRPr="009D0009" w:rsidRDefault="00B22526">
            <w:pPr>
              <w:rPr>
                <w:sz w:val="20"/>
                <w:szCs w:val="20"/>
              </w:rPr>
            </w:pPr>
            <w:r w:rsidRPr="009D0009">
              <w:rPr>
                <w:sz w:val="20"/>
                <w:szCs w:val="20"/>
              </w:rPr>
              <w:t>Incremental PV (2015 M$)</w:t>
            </w:r>
          </w:p>
        </w:tc>
        <w:tc>
          <w:tcPr>
            <w:tcW w:w="867" w:type="dxa"/>
            <w:noWrap/>
            <w:vAlign w:val="center"/>
            <w:hideMark/>
          </w:tcPr>
          <w:p w14:paraId="57AC7EFB" w14:textId="71DCB50F"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0F904FC2" w14:textId="3B1B03A6"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2E508085" w14:textId="1667D33F"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615F4D40" w14:textId="281FC67E"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20236F69" w14:textId="660EA8DC"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0A75DCD9" w14:textId="5B70FF00"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66A6322B" w14:textId="18F37F3D"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c>
          <w:tcPr>
            <w:tcW w:w="866" w:type="dxa"/>
            <w:noWrap/>
            <w:vAlign w:val="center"/>
            <w:hideMark/>
          </w:tcPr>
          <w:p w14:paraId="10DF8473" w14:textId="506511A3"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171059">
              <w:rPr>
                <w:b/>
                <w:sz w:val="13"/>
                <w:szCs w:val="13"/>
              </w:rPr>
              <w:t>REDACTED</w:t>
            </w:r>
          </w:p>
        </w:tc>
      </w:tr>
    </w:tbl>
    <w:p w14:paraId="270C9EA8" w14:textId="77777777" w:rsidR="00C317E6" w:rsidRDefault="006156DF" w:rsidP="00C317E6">
      <w:r>
        <w:t xml:space="preserve">Negative values </w:t>
      </w:r>
      <w:r w:rsidR="00C25A2F">
        <w:t xml:space="preserve">in this table </w:t>
      </w:r>
      <w:r>
        <w:t>represent costs</w:t>
      </w:r>
    </w:p>
    <w:p w14:paraId="766DEFD4" w14:textId="4E54FAFC" w:rsidR="00EC091F" w:rsidRDefault="006156DF" w:rsidP="00A52E43">
      <w:pPr>
        <w:ind w:firstLine="720"/>
      </w:pPr>
      <w:r>
        <w:t xml:space="preserve">As specified in the </w:t>
      </w:r>
      <w:r w:rsidR="0052097F">
        <w:t>Framework</w:t>
      </w:r>
      <w:r>
        <w:t>, the Support Capacity production costs were calculated by modeling the expansion plan results from the Strategist cases in PROSYM and calculating the differences in production costs.  In addition to modeling the expansion plan changes, the additional regulating reserves were modeled in PROSYM as an increase in spinning reserve requirement.  Table 2</w:t>
      </w:r>
      <w:r w:rsidR="00E02BB5">
        <w:t>3</w:t>
      </w:r>
      <w:r>
        <w:t xml:space="preserve"> shows the results of the</w:t>
      </w:r>
      <w:r w:rsidR="00333235">
        <w:t xml:space="preserve"> Support Capacity production cost calculations.</w:t>
      </w:r>
    </w:p>
    <w:p w14:paraId="7296A088" w14:textId="77777777" w:rsidR="006156DF" w:rsidRDefault="006156DF" w:rsidP="00A52E43">
      <w:pPr>
        <w:ind w:firstLine="720"/>
      </w:pPr>
    </w:p>
    <w:p w14:paraId="17997FAA" w14:textId="77777777" w:rsidR="00333235" w:rsidRPr="00E93DAC" w:rsidRDefault="00333235" w:rsidP="00E93DAC">
      <w:pPr>
        <w:rPr>
          <w:b/>
        </w:rPr>
      </w:pPr>
      <w:r w:rsidRPr="00E93DAC">
        <w:rPr>
          <w:b/>
        </w:rPr>
        <w:t>Table 2</w:t>
      </w:r>
      <w:r w:rsidR="00E02BB5">
        <w:rPr>
          <w:b/>
        </w:rPr>
        <w:t>3</w:t>
      </w:r>
      <w:r w:rsidR="00233D29">
        <w:rPr>
          <w:b/>
        </w:rPr>
        <w:t>:</w:t>
      </w:r>
      <w:r w:rsidRPr="00E93DAC">
        <w:rPr>
          <w:b/>
        </w:rPr>
        <w:t xml:space="preserve"> Support Capacity Production Costs (Millions of Dollars)</w:t>
      </w:r>
    </w:p>
    <w:tbl>
      <w:tblPr>
        <w:tblStyle w:val="LightList-Accent1"/>
        <w:tblW w:w="0" w:type="auto"/>
        <w:tblLook w:val="04A0" w:firstRow="1" w:lastRow="0" w:firstColumn="1" w:lastColumn="0" w:noHBand="0" w:noVBand="1"/>
      </w:tblPr>
      <w:tblGrid>
        <w:gridCol w:w="2647"/>
        <w:gridCol w:w="867"/>
        <w:gridCol w:w="866"/>
        <w:gridCol w:w="866"/>
        <w:gridCol w:w="866"/>
        <w:gridCol w:w="866"/>
        <w:gridCol w:w="866"/>
        <w:gridCol w:w="866"/>
        <w:gridCol w:w="866"/>
      </w:tblGrid>
      <w:tr w:rsidR="00333235" w:rsidRPr="00C317E6" w14:paraId="61E54A23" w14:textId="77777777" w:rsidTr="00742F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76C352C7" w14:textId="77777777" w:rsidR="00333235" w:rsidRPr="009D0009" w:rsidRDefault="00333235" w:rsidP="00742F4E">
            <w:pPr>
              <w:rPr>
                <w:sz w:val="20"/>
                <w:szCs w:val="20"/>
              </w:rPr>
            </w:pPr>
            <w:r w:rsidRPr="009D0009">
              <w:rPr>
                <w:sz w:val="20"/>
                <w:szCs w:val="20"/>
              </w:rPr>
              <w:t>Solar Tranche</w:t>
            </w:r>
          </w:p>
        </w:tc>
        <w:tc>
          <w:tcPr>
            <w:tcW w:w="867" w:type="dxa"/>
            <w:noWrap/>
            <w:hideMark/>
          </w:tcPr>
          <w:p w14:paraId="3E4B9B12"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1000</w:t>
            </w:r>
          </w:p>
        </w:tc>
        <w:tc>
          <w:tcPr>
            <w:tcW w:w="866" w:type="dxa"/>
            <w:noWrap/>
            <w:hideMark/>
          </w:tcPr>
          <w:p w14:paraId="7588E843"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2000</w:t>
            </w:r>
          </w:p>
        </w:tc>
        <w:tc>
          <w:tcPr>
            <w:tcW w:w="866" w:type="dxa"/>
            <w:noWrap/>
            <w:hideMark/>
          </w:tcPr>
          <w:p w14:paraId="204353AB"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3000</w:t>
            </w:r>
          </w:p>
        </w:tc>
        <w:tc>
          <w:tcPr>
            <w:tcW w:w="866" w:type="dxa"/>
            <w:noWrap/>
            <w:hideMark/>
          </w:tcPr>
          <w:p w14:paraId="51ED8E3A"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4000</w:t>
            </w:r>
          </w:p>
        </w:tc>
        <w:tc>
          <w:tcPr>
            <w:tcW w:w="866" w:type="dxa"/>
            <w:noWrap/>
            <w:hideMark/>
          </w:tcPr>
          <w:p w14:paraId="21762F5F"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5000</w:t>
            </w:r>
          </w:p>
        </w:tc>
        <w:tc>
          <w:tcPr>
            <w:tcW w:w="866" w:type="dxa"/>
            <w:noWrap/>
            <w:hideMark/>
          </w:tcPr>
          <w:p w14:paraId="4E04235B"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6000</w:t>
            </w:r>
          </w:p>
        </w:tc>
        <w:tc>
          <w:tcPr>
            <w:tcW w:w="866" w:type="dxa"/>
            <w:noWrap/>
            <w:hideMark/>
          </w:tcPr>
          <w:p w14:paraId="0FCD3DB7"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7000</w:t>
            </w:r>
          </w:p>
        </w:tc>
        <w:tc>
          <w:tcPr>
            <w:tcW w:w="866" w:type="dxa"/>
            <w:noWrap/>
            <w:hideMark/>
          </w:tcPr>
          <w:p w14:paraId="4FC55F49"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8000</w:t>
            </w:r>
          </w:p>
        </w:tc>
      </w:tr>
      <w:tr w:rsidR="00B22526" w:rsidRPr="00C317E6" w14:paraId="44360668"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3459F9A8" w14:textId="77777777" w:rsidR="00B22526" w:rsidRPr="009D0009" w:rsidRDefault="00B22526" w:rsidP="00742F4E">
            <w:pPr>
              <w:rPr>
                <w:sz w:val="20"/>
                <w:szCs w:val="20"/>
              </w:rPr>
            </w:pPr>
            <w:r w:rsidRPr="009D0009">
              <w:rPr>
                <w:sz w:val="20"/>
                <w:szCs w:val="20"/>
              </w:rPr>
              <w:t>Incremental PV (2015 M$)</w:t>
            </w:r>
          </w:p>
        </w:tc>
        <w:tc>
          <w:tcPr>
            <w:tcW w:w="867" w:type="dxa"/>
            <w:noWrap/>
            <w:vAlign w:val="center"/>
            <w:hideMark/>
          </w:tcPr>
          <w:p w14:paraId="7ACB6CCE" w14:textId="5062892F"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00060E">
              <w:rPr>
                <w:b/>
                <w:sz w:val="13"/>
                <w:szCs w:val="13"/>
              </w:rPr>
              <w:t>REDACTED</w:t>
            </w:r>
          </w:p>
        </w:tc>
        <w:tc>
          <w:tcPr>
            <w:tcW w:w="866" w:type="dxa"/>
            <w:noWrap/>
            <w:vAlign w:val="center"/>
            <w:hideMark/>
          </w:tcPr>
          <w:p w14:paraId="691A25AD" w14:textId="6F35AA4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00060E">
              <w:rPr>
                <w:b/>
                <w:sz w:val="13"/>
                <w:szCs w:val="13"/>
              </w:rPr>
              <w:t>REDACTED</w:t>
            </w:r>
          </w:p>
        </w:tc>
        <w:tc>
          <w:tcPr>
            <w:tcW w:w="866" w:type="dxa"/>
            <w:noWrap/>
            <w:vAlign w:val="center"/>
            <w:hideMark/>
          </w:tcPr>
          <w:p w14:paraId="2B244E04" w14:textId="78D2A708"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0060E">
              <w:rPr>
                <w:b/>
                <w:sz w:val="13"/>
                <w:szCs w:val="13"/>
              </w:rPr>
              <w:t>REDACTED</w:t>
            </w:r>
          </w:p>
        </w:tc>
        <w:tc>
          <w:tcPr>
            <w:tcW w:w="866" w:type="dxa"/>
            <w:noWrap/>
            <w:vAlign w:val="center"/>
            <w:hideMark/>
          </w:tcPr>
          <w:p w14:paraId="2AD1C612" w14:textId="445EC92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0060E">
              <w:rPr>
                <w:b/>
                <w:sz w:val="13"/>
                <w:szCs w:val="13"/>
              </w:rPr>
              <w:t>REDACTED</w:t>
            </w:r>
          </w:p>
        </w:tc>
        <w:tc>
          <w:tcPr>
            <w:tcW w:w="866" w:type="dxa"/>
            <w:noWrap/>
            <w:vAlign w:val="center"/>
            <w:hideMark/>
          </w:tcPr>
          <w:p w14:paraId="4CA8797A" w14:textId="0356CE2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0060E">
              <w:rPr>
                <w:b/>
                <w:sz w:val="13"/>
                <w:szCs w:val="13"/>
              </w:rPr>
              <w:t>REDACTED</w:t>
            </w:r>
          </w:p>
        </w:tc>
        <w:tc>
          <w:tcPr>
            <w:tcW w:w="866" w:type="dxa"/>
            <w:noWrap/>
            <w:vAlign w:val="center"/>
            <w:hideMark/>
          </w:tcPr>
          <w:p w14:paraId="76492E76" w14:textId="342EAB58"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0060E">
              <w:rPr>
                <w:b/>
                <w:sz w:val="13"/>
                <w:szCs w:val="13"/>
              </w:rPr>
              <w:t>REDACTED</w:t>
            </w:r>
          </w:p>
        </w:tc>
        <w:tc>
          <w:tcPr>
            <w:tcW w:w="866" w:type="dxa"/>
            <w:noWrap/>
            <w:vAlign w:val="center"/>
            <w:hideMark/>
          </w:tcPr>
          <w:p w14:paraId="70884958" w14:textId="7D70234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00060E">
              <w:rPr>
                <w:b/>
                <w:sz w:val="13"/>
                <w:szCs w:val="13"/>
              </w:rPr>
              <w:t>REDACTED</w:t>
            </w:r>
          </w:p>
        </w:tc>
        <w:tc>
          <w:tcPr>
            <w:tcW w:w="866" w:type="dxa"/>
            <w:noWrap/>
            <w:vAlign w:val="center"/>
            <w:hideMark/>
          </w:tcPr>
          <w:p w14:paraId="3772A523" w14:textId="5205A87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00060E">
              <w:rPr>
                <w:b/>
                <w:sz w:val="13"/>
                <w:szCs w:val="13"/>
              </w:rPr>
              <w:t>REDACTED</w:t>
            </w:r>
          </w:p>
        </w:tc>
      </w:tr>
    </w:tbl>
    <w:p w14:paraId="67A0A3B0" w14:textId="77777777" w:rsidR="006156DF" w:rsidRDefault="00333235" w:rsidP="00333235">
      <w:r>
        <w:t xml:space="preserve">Negative values </w:t>
      </w:r>
      <w:r w:rsidR="00C25A2F">
        <w:t xml:space="preserve">in this table </w:t>
      </w:r>
      <w:r>
        <w:t>represent costs.</w:t>
      </w:r>
    </w:p>
    <w:p w14:paraId="603732DB" w14:textId="77777777" w:rsidR="00333235" w:rsidRDefault="00333235" w:rsidP="00333235">
      <w:pPr>
        <w:ind w:firstLine="720"/>
      </w:pPr>
      <w:r>
        <w:t>The sum of the Support Capacity Capital costs and the Support Capacity Production costs represents the total Support Capacity Costs, shown below in Table 2</w:t>
      </w:r>
      <w:r w:rsidR="00E02BB5">
        <w:t>4</w:t>
      </w:r>
      <w:r>
        <w:t>.</w:t>
      </w:r>
    </w:p>
    <w:p w14:paraId="40A6E821" w14:textId="77777777" w:rsidR="00333235" w:rsidRDefault="00333235" w:rsidP="00A52E43">
      <w:pPr>
        <w:ind w:firstLine="720"/>
      </w:pPr>
    </w:p>
    <w:p w14:paraId="5E241B65" w14:textId="77777777" w:rsidR="00333235" w:rsidRPr="004D4137" w:rsidRDefault="00333235" w:rsidP="00333235">
      <w:pPr>
        <w:rPr>
          <w:b/>
        </w:rPr>
      </w:pPr>
      <w:r w:rsidRPr="004D4137">
        <w:rPr>
          <w:b/>
        </w:rPr>
        <w:lastRenderedPageBreak/>
        <w:t>Table 2</w:t>
      </w:r>
      <w:r w:rsidR="00E02BB5">
        <w:rPr>
          <w:b/>
        </w:rPr>
        <w:t>4</w:t>
      </w:r>
      <w:r w:rsidR="00233D29">
        <w:rPr>
          <w:b/>
        </w:rPr>
        <w:t>:</w:t>
      </w:r>
      <w:r w:rsidRPr="004D4137">
        <w:rPr>
          <w:b/>
        </w:rPr>
        <w:t xml:space="preserve"> </w:t>
      </w:r>
      <w:r>
        <w:rPr>
          <w:b/>
        </w:rPr>
        <w:t xml:space="preserve">Total </w:t>
      </w:r>
      <w:r w:rsidRPr="004D4137">
        <w:rPr>
          <w:b/>
        </w:rPr>
        <w:t>Support Capacity Costs (Millions of Dollars)</w:t>
      </w:r>
    </w:p>
    <w:tbl>
      <w:tblPr>
        <w:tblStyle w:val="LightList-Accent1"/>
        <w:tblW w:w="0" w:type="auto"/>
        <w:tblLook w:val="04A0" w:firstRow="1" w:lastRow="0" w:firstColumn="1" w:lastColumn="0" w:noHBand="0" w:noVBand="1"/>
      </w:tblPr>
      <w:tblGrid>
        <w:gridCol w:w="2647"/>
        <w:gridCol w:w="867"/>
        <w:gridCol w:w="866"/>
        <w:gridCol w:w="866"/>
        <w:gridCol w:w="866"/>
        <w:gridCol w:w="866"/>
        <w:gridCol w:w="866"/>
        <w:gridCol w:w="866"/>
        <w:gridCol w:w="866"/>
      </w:tblGrid>
      <w:tr w:rsidR="00333235" w:rsidRPr="00C317E6" w14:paraId="6FAA304C" w14:textId="77777777" w:rsidTr="00742F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2A3BD0A1" w14:textId="77777777" w:rsidR="00333235" w:rsidRPr="009D0009" w:rsidRDefault="00333235" w:rsidP="00742F4E">
            <w:pPr>
              <w:rPr>
                <w:sz w:val="20"/>
                <w:szCs w:val="20"/>
              </w:rPr>
            </w:pPr>
            <w:r w:rsidRPr="009D0009">
              <w:rPr>
                <w:sz w:val="20"/>
                <w:szCs w:val="20"/>
              </w:rPr>
              <w:t>Solar Tranche</w:t>
            </w:r>
          </w:p>
        </w:tc>
        <w:tc>
          <w:tcPr>
            <w:tcW w:w="867" w:type="dxa"/>
            <w:noWrap/>
            <w:hideMark/>
          </w:tcPr>
          <w:p w14:paraId="53BF6948"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1000</w:t>
            </w:r>
          </w:p>
        </w:tc>
        <w:tc>
          <w:tcPr>
            <w:tcW w:w="866" w:type="dxa"/>
            <w:noWrap/>
            <w:hideMark/>
          </w:tcPr>
          <w:p w14:paraId="7136E338"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2000</w:t>
            </w:r>
          </w:p>
        </w:tc>
        <w:tc>
          <w:tcPr>
            <w:tcW w:w="866" w:type="dxa"/>
            <w:noWrap/>
            <w:hideMark/>
          </w:tcPr>
          <w:p w14:paraId="61B7C30B"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3000</w:t>
            </w:r>
          </w:p>
        </w:tc>
        <w:tc>
          <w:tcPr>
            <w:tcW w:w="866" w:type="dxa"/>
            <w:noWrap/>
            <w:hideMark/>
          </w:tcPr>
          <w:p w14:paraId="61C265D2"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4000</w:t>
            </w:r>
          </w:p>
        </w:tc>
        <w:tc>
          <w:tcPr>
            <w:tcW w:w="866" w:type="dxa"/>
            <w:noWrap/>
            <w:hideMark/>
          </w:tcPr>
          <w:p w14:paraId="79C9078C"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5000</w:t>
            </w:r>
          </w:p>
        </w:tc>
        <w:tc>
          <w:tcPr>
            <w:tcW w:w="866" w:type="dxa"/>
            <w:noWrap/>
            <w:hideMark/>
          </w:tcPr>
          <w:p w14:paraId="30337308"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6000</w:t>
            </w:r>
          </w:p>
        </w:tc>
        <w:tc>
          <w:tcPr>
            <w:tcW w:w="866" w:type="dxa"/>
            <w:noWrap/>
            <w:hideMark/>
          </w:tcPr>
          <w:p w14:paraId="40D0C669"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7000</w:t>
            </w:r>
          </w:p>
        </w:tc>
        <w:tc>
          <w:tcPr>
            <w:tcW w:w="866" w:type="dxa"/>
            <w:noWrap/>
            <w:hideMark/>
          </w:tcPr>
          <w:p w14:paraId="24586F15" w14:textId="77777777" w:rsidR="00333235" w:rsidRPr="009D0009" w:rsidRDefault="00333235" w:rsidP="00742F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8000</w:t>
            </w:r>
          </w:p>
        </w:tc>
      </w:tr>
      <w:tr w:rsidR="00B22526" w:rsidRPr="00C317E6" w14:paraId="0CA02842"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7" w:type="dxa"/>
            <w:noWrap/>
            <w:hideMark/>
          </w:tcPr>
          <w:p w14:paraId="6F0BD23C" w14:textId="77777777" w:rsidR="00B22526" w:rsidRPr="009D0009" w:rsidRDefault="00B22526" w:rsidP="00742F4E">
            <w:pPr>
              <w:rPr>
                <w:sz w:val="20"/>
                <w:szCs w:val="20"/>
              </w:rPr>
            </w:pPr>
            <w:r w:rsidRPr="009D0009">
              <w:rPr>
                <w:sz w:val="20"/>
                <w:szCs w:val="20"/>
              </w:rPr>
              <w:t>Incremental PV (2015 M$)</w:t>
            </w:r>
          </w:p>
        </w:tc>
        <w:tc>
          <w:tcPr>
            <w:tcW w:w="867" w:type="dxa"/>
            <w:noWrap/>
            <w:vAlign w:val="center"/>
            <w:hideMark/>
          </w:tcPr>
          <w:p w14:paraId="338D46F4" w14:textId="3E1BCE7E"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4DE7BB8F" w14:textId="4BCD90A3"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4E132A46" w14:textId="2832A764"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5049AAA7" w14:textId="3A4C699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35249FBC" w14:textId="207AA908"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5910CBAF" w14:textId="2A1FA99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7462D0FD" w14:textId="1BB90E9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c>
          <w:tcPr>
            <w:tcW w:w="866" w:type="dxa"/>
            <w:noWrap/>
            <w:vAlign w:val="center"/>
            <w:hideMark/>
          </w:tcPr>
          <w:p w14:paraId="0DF860A4" w14:textId="2570CA4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szCs w:val="20"/>
                <w:highlight w:val="yellow"/>
              </w:rPr>
            </w:pPr>
            <w:r w:rsidRPr="00AE1E57">
              <w:rPr>
                <w:b/>
                <w:sz w:val="13"/>
                <w:szCs w:val="13"/>
              </w:rPr>
              <w:t>REDACTED</w:t>
            </w:r>
          </w:p>
        </w:tc>
      </w:tr>
    </w:tbl>
    <w:p w14:paraId="773513AF" w14:textId="77777777" w:rsidR="00333235" w:rsidRDefault="00333235" w:rsidP="00333235">
      <w:r>
        <w:t xml:space="preserve">Negative values </w:t>
      </w:r>
      <w:r w:rsidR="00C25A2F">
        <w:t xml:space="preserve">in this table </w:t>
      </w:r>
      <w:r>
        <w:t>represent costs.</w:t>
      </w:r>
    </w:p>
    <w:p w14:paraId="411FF231" w14:textId="77777777" w:rsidR="00333235" w:rsidRDefault="00333235" w:rsidP="00333235">
      <w:pPr>
        <w:ind w:firstLine="720"/>
      </w:pPr>
      <w:r>
        <w:t>These values were then converted into 30-year levelized values in $/MWH as shown in Table 2</w:t>
      </w:r>
      <w:r w:rsidR="00E02BB5">
        <w:t>5</w:t>
      </w:r>
      <w:r>
        <w:t>.</w:t>
      </w:r>
    </w:p>
    <w:p w14:paraId="4BBC6528" w14:textId="77777777" w:rsidR="00B24877" w:rsidRPr="00D1093E" w:rsidRDefault="00B24877" w:rsidP="00B24877">
      <w:pPr>
        <w:rPr>
          <w:b/>
        </w:rPr>
      </w:pPr>
      <w:r w:rsidRPr="00D1093E">
        <w:rPr>
          <w:b/>
        </w:rPr>
        <w:t xml:space="preserve">Table </w:t>
      </w:r>
      <w:r w:rsidR="00333235">
        <w:rPr>
          <w:b/>
        </w:rPr>
        <w:t>2</w:t>
      </w:r>
      <w:r w:rsidR="00E02BB5">
        <w:rPr>
          <w:b/>
        </w:rPr>
        <w:t>5</w:t>
      </w:r>
      <w:r w:rsidR="00000D78">
        <w:rPr>
          <w:b/>
        </w:rPr>
        <w:t>:</w:t>
      </w:r>
      <w:r w:rsidR="00000D78" w:rsidRPr="00D1093E">
        <w:rPr>
          <w:b/>
        </w:rPr>
        <w:t xml:space="preserve"> </w:t>
      </w:r>
      <w:r w:rsidRPr="00D1093E">
        <w:rPr>
          <w:b/>
        </w:rPr>
        <w:t>Levelized Support Capacity Capital Costs</w:t>
      </w:r>
      <w:r w:rsidR="001A7FA8">
        <w:rPr>
          <w:b/>
        </w:rPr>
        <w:t xml:space="preserve"> ($/MWH)</w:t>
      </w:r>
    </w:p>
    <w:tbl>
      <w:tblPr>
        <w:tblStyle w:val="LightList-Accent1"/>
        <w:tblW w:w="0" w:type="auto"/>
        <w:tblLook w:val="04A0" w:firstRow="1" w:lastRow="0" w:firstColumn="1" w:lastColumn="0" w:noHBand="0" w:noVBand="1"/>
      </w:tblPr>
      <w:tblGrid>
        <w:gridCol w:w="2782"/>
        <w:gridCol w:w="792"/>
        <w:gridCol w:w="800"/>
        <w:gridCol w:w="867"/>
        <w:gridCol w:w="867"/>
        <w:gridCol w:w="867"/>
        <w:gridCol w:w="867"/>
        <w:gridCol w:w="867"/>
        <w:gridCol w:w="867"/>
      </w:tblGrid>
      <w:tr w:rsidR="0004165E" w:rsidRPr="00800C7E" w14:paraId="4889B2D9" w14:textId="77777777" w:rsidTr="0004165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3" w:type="dxa"/>
            <w:noWrap/>
            <w:hideMark/>
          </w:tcPr>
          <w:p w14:paraId="1581901E" w14:textId="77777777" w:rsidR="002F489B" w:rsidRPr="00800C7E" w:rsidRDefault="002F489B" w:rsidP="00000D78">
            <w:pPr>
              <w:rPr>
                <w:sz w:val="20"/>
              </w:rPr>
            </w:pPr>
            <w:r w:rsidRPr="00800C7E">
              <w:rPr>
                <w:sz w:val="20"/>
              </w:rPr>
              <w:t xml:space="preserve">Solar </w:t>
            </w:r>
            <w:r>
              <w:rPr>
                <w:sz w:val="20"/>
              </w:rPr>
              <w:t>Tranche</w:t>
            </w:r>
          </w:p>
        </w:tc>
        <w:tc>
          <w:tcPr>
            <w:tcW w:w="791" w:type="dxa"/>
            <w:noWrap/>
            <w:hideMark/>
          </w:tcPr>
          <w:p w14:paraId="2682878C"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1000</w:t>
            </w:r>
          </w:p>
        </w:tc>
        <w:tc>
          <w:tcPr>
            <w:tcW w:w="800" w:type="dxa"/>
            <w:noWrap/>
            <w:hideMark/>
          </w:tcPr>
          <w:p w14:paraId="7896C59F"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2000</w:t>
            </w:r>
          </w:p>
        </w:tc>
        <w:tc>
          <w:tcPr>
            <w:tcW w:w="867" w:type="dxa"/>
            <w:noWrap/>
            <w:hideMark/>
          </w:tcPr>
          <w:p w14:paraId="4B2854B4"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3000</w:t>
            </w:r>
          </w:p>
        </w:tc>
        <w:tc>
          <w:tcPr>
            <w:tcW w:w="867" w:type="dxa"/>
            <w:noWrap/>
            <w:hideMark/>
          </w:tcPr>
          <w:p w14:paraId="65466577"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4000</w:t>
            </w:r>
          </w:p>
        </w:tc>
        <w:tc>
          <w:tcPr>
            <w:tcW w:w="867" w:type="dxa"/>
            <w:noWrap/>
            <w:hideMark/>
          </w:tcPr>
          <w:p w14:paraId="58AF6B88"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5000</w:t>
            </w:r>
          </w:p>
        </w:tc>
        <w:tc>
          <w:tcPr>
            <w:tcW w:w="867" w:type="dxa"/>
            <w:noWrap/>
            <w:hideMark/>
          </w:tcPr>
          <w:p w14:paraId="5CBD306C"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6000</w:t>
            </w:r>
          </w:p>
        </w:tc>
        <w:tc>
          <w:tcPr>
            <w:tcW w:w="867" w:type="dxa"/>
            <w:noWrap/>
            <w:hideMark/>
          </w:tcPr>
          <w:p w14:paraId="60F78E47"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7000</w:t>
            </w:r>
          </w:p>
        </w:tc>
        <w:tc>
          <w:tcPr>
            <w:tcW w:w="867" w:type="dxa"/>
            <w:noWrap/>
            <w:hideMark/>
          </w:tcPr>
          <w:p w14:paraId="141A1AFA" w14:textId="77777777" w:rsidR="002F489B" w:rsidRPr="00A76AC5" w:rsidRDefault="002F489B"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A76AC5">
              <w:rPr>
                <w:sz w:val="20"/>
              </w:rPr>
              <w:t>8000</w:t>
            </w:r>
          </w:p>
        </w:tc>
      </w:tr>
      <w:tr w:rsidR="0004165E" w:rsidRPr="00800C7E" w14:paraId="74F030DB"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3" w:type="dxa"/>
            <w:noWrap/>
            <w:hideMark/>
          </w:tcPr>
          <w:p w14:paraId="659F1A5A" w14:textId="3956EAA9" w:rsidR="00B22526" w:rsidRPr="00800C7E" w:rsidRDefault="00B22526" w:rsidP="000B2A34">
            <w:pPr>
              <w:rPr>
                <w:sz w:val="20"/>
              </w:rPr>
            </w:pPr>
            <w:r w:rsidRPr="00800C7E">
              <w:rPr>
                <w:sz w:val="20"/>
              </w:rPr>
              <w:t>Sup</w:t>
            </w:r>
            <w:r>
              <w:rPr>
                <w:sz w:val="20"/>
              </w:rPr>
              <w:t>port</w:t>
            </w:r>
            <w:r w:rsidRPr="00800C7E">
              <w:rPr>
                <w:sz w:val="20"/>
              </w:rPr>
              <w:t xml:space="preserve"> Cap</w:t>
            </w:r>
            <w:r>
              <w:rPr>
                <w:sz w:val="20"/>
              </w:rPr>
              <w:t>acity</w:t>
            </w:r>
            <w:r w:rsidRPr="00800C7E">
              <w:rPr>
                <w:sz w:val="20"/>
              </w:rPr>
              <w:t xml:space="preserve"> Capital Costs</w:t>
            </w:r>
          </w:p>
        </w:tc>
        <w:tc>
          <w:tcPr>
            <w:tcW w:w="791" w:type="dxa"/>
            <w:noWrap/>
            <w:vAlign w:val="center"/>
            <w:hideMark/>
          </w:tcPr>
          <w:p w14:paraId="23C2E1A3" w14:textId="730D24CA" w:rsidR="00B22526" w:rsidRPr="00353442" w:rsidRDefault="00B22526" w:rsidP="00B22526">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00" w:type="dxa"/>
            <w:noWrap/>
            <w:vAlign w:val="center"/>
            <w:hideMark/>
          </w:tcPr>
          <w:p w14:paraId="0656F61F" w14:textId="5A494428"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512CB6D0" w14:textId="47C8863A"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3B6E2234" w14:textId="72D234C9"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0B22FA2A" w14:textId="053FFB6F"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57E3C57E" w14:textId="029D80E8"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581C615E" w14:textId="6F6704DE"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c>
          <w:tcPr>
            <w:tcW w:w="867" w:type="dxa"/>
            <w:noWrap/>
            <w:vAlign w:val="center"/>
            <w:hideMark/>
          </w:tcPr>
          <w:p w14:paraId="53D030E2" w14:textId="5E32A884" w:rsidR="00B22526" w:rsidRPr="00353442" w:rsidRDefault="00B22526" w:rsidP="0004165E">
            <w:pPr>
              <w:jc w:val="center"/>
              <w:cnfStyle w:val="000000100000" w:firstRow="0" w:lastRow="0" w:firstColumn="0" w:lastColumn="0" w:oddVBand="0" w:evenVBand="0" w:oddHBand="1" w:evenHBand="0" w:firstRowFirstColumn="0" w:firstRowLastColumn="0" w:lastRowFirstColumn="0" w:lastRowLastColumn="0"/>
              <w:rPr>
                <w:color w:val="FF0000"/>
                <w:sz w:val="20"/>
                <w:highlight w:val="yellow"/>
              </w:rPr>
            </w:pPr>
            <w:r w:rsidRPr="00AE6B97">
              <w:rPr>
                <w:b/>
                <w:sz w:val="13"/>
                <w:szCs w:val="13"/>
              </w:rPr>
              <w:t>REDACTED</w:t>
            </w:r>
          </w:p>
        </w:tc>
      </w:tr>
    </w:tbl>
    <w:p w14:paraId="3D8F2AD5" w14:textId="77777777" w:rsidR="000B2A34" w:rsidRDefault="000B2A34" w:rsidP="000B2A34">
      <w:r>
        <w:t>Negative values represent cost</w:t>
      </w:r>
      <w:r w:rsidR="00742F4E">
        <w:t>s</w:t>
      </w:r>
      <w:r>
        <w:t xml:space="preserve"> in the cost benefit determination.</w:t>
      </w:r>
    </w:p>
    <w:p w14:paraId="386B0F29" w14:textId="77777777" w:rsidR="00CE7935" w:rsidRDefault="00CE7935" w:rsidP="00A52E43">
      <w:pPr>
        <w:ind w:firstLine="720"/>
      </w:pPr>
    </w:p>
    <w:p w14:paraId="7E31734E" w14:textId="77777777" w:rsidR="00A52E43" w:rsidRDefault="00A52E43" w:rsidP="00A52E43">
      <w:pPr>
        <w:rPr>
          <w:b/>
        </w:rPr>
      </w:pPr>
      <w:r>
        <w:rPr>
          <w:b/>
        </w:rPr>
        <w:t>Bottom Out Costs</w:t>
      </w:r>
    </w:p>
    <w:p w14:paraId="4A216841" w14:textId="736CCAA6" w:rsidR="00E75FD6" w:rsidRDefault="008A6B9E" w:rsidP="008C3CAF">
      <w:pPr>
        <w:ind w:firstLine="720"/>
      </w:pPr>
      <w:r>
        <w:t xml:space="preserve">Per the </w:t>
      </w:r>
      <w:r w:rsidR="0052097F">
        <w:t>Framework</w:t>
      </w:r>
      <w:r>
        <w:t>, t</w:t>
      </w:r>
      <w:r w:rsidR="008C3CAF">
        <w:t>he methodology for determining Bottom</w:t>
      </w:r>
      <w:r w:rsidR="00AB00C7">
        <w:t xml:space="preserve"> </w:t>
      </w:r>
      <w:r w:rsidR="008C3CAF">
        <w:t xml:space="preserve">Out costs </w:t>
      </w:r>
      <w:r w:rsidR="00742F4E">
        <w:t xml:space="preserve">was </w:t>
      </w:r>
      <w:r w:rsidR="008C3CAF">
        <w:t xml:space="preserve">based upon the Strategist and PROSYM cases from the Support Capacity calculation. </w:t>
      </w:r>
      <w:r w:rsidR="00E75FD6">
        <w:t xml:space="preserve"> </w:t>
      </w:r>
    </w:p>
    <w:p w14:paraId="7EA95542" w14:textId="2FA72908" w:rsidR="008C3CAF" w:rsidRDefault="00E75FD6" w:rsidP="008C3CAF">
      <w:pPr>
        <w:ind w:firstLine="720"/>
      </w:pPr>
      <w:r>
        <w:t>For this particular analysis, however</w:t>
      </w:r>
      <w:r w:rsidR="008C3CAF">
        <w:t xml:space="preserve">, </w:t>
      </w:r>
      <w:r w:rsidR="008A6B9E">
        <w:t xml:space="preserve">due to the recommitment algorithm in PROSYM, there was no need to manually </w:t>
      </w:r>
      <w:proofErr w:type="spellStart"/>
      <w:r w:rsidR="008A6B9E">
        <w:t>decommit</w:t>
      </w:r>
      <w:proofErr w:type="spellEnd"/>
      <w:r w:rsidR="008A6B9E">
        <w:t xml:space="preserve"> any resources.</w:t>
      </w:r>
      <w:r w:rsidR="00AD3BC9">
        <w:rPr>
          <w:rStyle w:val="FootnoteReference"/>
        </w:rPr>
        <w:footnoteReference w:id="15"/>
      </w:r>
      <w:r w:rsidR="008A6B9E">
        <w:t xml:space="preserve">  </w:t>
      </w:r>
      <w:r w:rsidR="00AD3BC9">
        <w:t>As such</w:t>
      </w:r>
      <w:r w:rsidR="008A6B9E">
        <w:t xml:space="preserve">, there were no intermediate cases from which DUMP ENERGY costs could be derived.  Therefore, the Bottom Out costs were merely the increase in DUMP energy in the PROSYM cases </w:t>
      </w:r>
      <w:r w:rsidR="00AD3BC9">
        <w:t xml:space="preserve">(from the base case to the tranche change case) </w:t>
      </w:r>
      <w:r w:rsidR="008A6B9E">
        <w:t xml:space="preserve">valued at the avoided energy cost from the PROSYM cases.  Table </w:t>
      </w:r>
      <w:r w:rsidR="00742F4E">
        <w:t>2</w:t>
      </w:r>
      <w:r w:rsidR="00E02BB5">
        <w:t>6</w:t>
      </w:r>
      <w:r w:rsidR="00742F4E">
        <w:t xml:space="preserve"> </w:t>
      </w:r>
      <w:r w:rsidR="008A6B9E">
        <w:t xml:space="preserve">below shows the amount of aggregate DUMP energy in excess of the </w:t>
      </w:r>
      <w:r w:rsidR="009061A6">
        <w:t xml:space="preserve">base case that resulted from each solar </w:t>
      </w:r>
      <w:r w:rsidR="00AB00C7">
        <w:t>tranche</w:t>
      </w:r>
      <w:r w:rsidR="009061A6">
        <w:t>.</w:t>
      </w:r>
    </w:p>
    <w:p w14:paraId="3A6CE1D3" w14:textId="59543BA7" w:rsidR="003F3C7A" w:rsidRDefault="003F3C7A">
      <w:r>
        <w:br w:type="page"/>
      </w:r>
    </w:p>
    <w:p w14:paraId="31107E38" w14:textId="77777777" w:rsidR="008A6B9E" w:rsidRPr="00D1093E" w:rsidRDefault="008A6B9E" w:rsidP="008A6B9E">
      <w:pPr>
        <w:rPr>
          <w:b/>
        </w:rPr>
      </w:pPr>
      <w:r w:rsidRPr="00D1093E">
        <w:rPr>
          <w:b/>
        </w:rPr>
        <w:lastRenderedPageBreak/>
        <w:t xml:space="preserve">Table </w:t>
      </w:r>
      <w:r w:rsidR="00742F4E">
        <w:rPr>
          <w:b/>
        </w:rPr>
        <w:t>2</w:t>
      </w:r>
      <w:r w:rsidR="00E02BB5">
        <w:rPr>
          <w:b/>
        </w:rPr>
        <w:t>6</w:t>
      </w:r>
      <w:r w:rsidR="00AB00C7">
        <w:rPr>
          <w:b/>
        </w:rPr>
        <w:t>:</w:t>
      </w:r>
      <w:r w:rsidR="00AB00C7" w:rsidRPr="00D1093E">
        <w:rPr>
          <w:b/>
        </w:rPr>
        <w:t xml:space="preserve">  </w:t>
      </w:r>
      <w:r w:rsidRPr="00D1093E">
        <w:rPr>
          <w:b/>
        </w:rPr>
        <w:t>Incremental Dump Energy relative to Base Case (GWh)</w:t>
      </w:r>
    </w:p>
    <w:tbl>
      <w:tblPr>
        <w:tblStyle w:val="LightList-Accent1"/>
        <w:tblW w:w="0" w:type="auto"/>
        <w:tblLook w:val="04A0" w:firstRow="1" w:lastRow="0" w:firstColumn="1" w:lastColumn="0" w:noHBand="0" w:noVBand="1"/>
      </w:tblPr>
      <w:tblGrid>
        <w:gridCol w:w="1210"/>
        <w:gridCol w:w="1045"/>
        <w:gridCol w:w="1045"/>
        <w:gridCol w:w="1046"/>
        <w:gridCol w:w="1046"/>
        <w:gridCol w:w="1046"/>
        <w:gridCol w:w="1046"/>
        <w:gridCol w:w="1046"/>
        <w:gridCol w:w="1046"/>
      </w:tblGrid>
      <w:tr w:rsidR="008A6B9E" w:rsidRPr="008A6B9E" w14:paraId="78AC7B8E" w14:textId="77777777" w:rsidTr="007F67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0" w:type="dxa"/>
            <w:noWrap/>
            <w:hideMark/>
          </w:tcPr>
          <w:p w14:paraId="60C6F831" w14:textId="77777777" w:rsidR="008A6B9E" w:rsidRPr="009D0009" w:rsidRDefault="008A6B9E">
            <w:pPr>
              <w:rPr>
                <w:sz w:val="20"/>
                <w:szCs w:val="20"/>
              </w:rPr>
            </w:pPr>
            <w:r w:rsidRPr="009D0009">
              <w:rPr>
                <w:sz w:val="20"/>
                <w:szCs w:val="20"/>
              </w:rPr>
              <w:t> </w:t>
            </w:r>
          </w:p>
        </w:tc>
        <w:tc>
          <w:tcPr>
            <w:tcW w:w="1045" w:type="dxa"/>
            <w:noWrap/>
            <w:hideMark/>
          </w:tcPr>
          <w:p w14:paraId="4C2C6570"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1000</w:t>
            </w:r>
          </w:p>
        </w:tc>
        <w:tc>
          <w:tcPr>
            <w:tcW w:w="1045" w:type="dxa"/>
            <w:noWrap/>
            <w:hideMark/>
          </w:tcPr>
          <w:p w14:paraId="5E3C5A45"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2000</w:t>
            </w:r>
          </w:p>
        </w:tc>
        <w:tc>
          <w:tcPr>
            <w:tcW w:w="1046" w:type="dxa"/>
            <w:noWrap/>
            <w:hideMark/>
          </w:tcPr>
          <w:p w14:paraId="4C5FE813"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3000</w:t>
            </w:r>
          </w:p>
        </w:tc>
        <w:tc>
          <w:tcPr>
            <w:tcW w:w="1046" w:type="dxa"/>
            <w:noWrap/>
            <w:hideMark/>
          </w:tcPr>
          <w:p w14:paraId="16570708"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4000</w:t>
            </w:r>
          </w:p>
        </w:tc>
        <w:tc>
          <w:tcPr>
            <w:tcW w:w="1046" w:type="dxa"/>
            <w:noWrap/>
            <w:hideMark/>
          </w:tcPr>
          <w:p w14:paraId="23B5877D"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5000</w:t>
            </w:r>
          </w:p>
        </w:tc>
        <w:tc>
          <w:tcPr>
            <w:tcW w:w="1046" w:type="dxa"/>
            <w:noWrap/>
            <w:hideMark/>
          </w:tcPr>
          <w:p w14:paraId="061B8820"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6000</w:t>
            </w:r>
          </w:p>
        </w:tc>
        <w:tc>
          <w:tcPr>
            <w:tcW w:w="1046" w:type="dxa"/>
            <w:noWrap/>
            <w:hideMark/>
          </w:tcPr>
          <w:p w14:paraId="6941F290"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7000</w:t>
            </w:r>
          </w:p>
        </w:tc>
        <w:tc>
          <w:tcPr>
            <w:tcW w:w="1046" w:type="dxa"/>
            <w:noWrap/>
            <w:hideMark/>
          </w:tcPr>
          <w:p w14:paraId="22036E55" w14:textId="77777777" w:rsidR="008A6B9E" w:rsidRPr="009D0009" w:rsidRDefault="008A6B9E" w:rsidP="00800C7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D0009">
              <w:rPr>
                <w:sz w:val="20"/>
                <w:szCs w:val="20"/>
              </w:rPr>
              <w:t>8000</w:t>
            </w:r>
          </w:p>
        </w:tc>
      </w:tr>
      <w:tr w:rsidR="00B22526" w:rsidRPr="008A6B9E" w14:paraId="41ACD191" w14:textId="77777777" w:rsidTr="0004165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0" w:type="dxa"/>
            <w:noWrap/>
            <w:hideMark/>
          </w:tcPr>
          <w:p w14:paraId="0C0CFE22" w14:textId="77777777" w:rsidR="00B22526" w:rsidRPr="009D0009" w:rsidRDefault="00B22526" w:rsidP="008A6B9E">
            <w:pPr>
              <w:rPr>
                <w:sz w:val="20"/>
                <w:szCs w:val="20"/>
              </w:rPr>
            </w:pPr>
            <w:r w:rsidRPr="009D0009">
              <w:rPr>
                <w:sz w:val="20"/>
                <w:szCs w:val="20"/>
              </w:rPr>
              <w:t>2019</w:t>
            </w:r>
          </w:p>
        </w:tc>
        <w:tc>
          <w:tcPr>
            <w:tcW w:w="1045" w:type="dxa"/>
            <w:noWrap/>
            <w:hideMark/>
          </w:tcPr>
          <w:p w14:paraId="697E2874"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27E2DCA2"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4536FB4F"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6953D1F9"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4FAB3A36" w14:textId="5877C810"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76E51403" w14:textId="0642EE2D"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4D3DB498" w14:textId="50B7D816"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53460EA6" w14:textId="37E9B67C"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47DF6421"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1DF08AA9" w14:textId="77777777" w:rsidR="00B22526" w:rsidRPr="009D0009" w:rsidRDefault="00B22526" w:rsidP="008A6B9E">
            <w:pPr>
              <w:rPr>
                <w:sz w:val="20"/>
                <w:szCs w:val="20"/>
              </w:rPr>
            </w:pPr>
            <w:r w:rsidRPr="009D0009">
              <w:rPr>
                <w:sz w:val="20"/>
                <w:szCs w:val="20"/>
              </w:rPr>
              <w:t>2020</w:t>
            </w:r>
          </w:p>
        </w:tc>
        <w:tc>
          <w:tcPr>
            <w:tcW w:w="1045" w:type="dxa"/>
            <w:noWrap/>
            <w:hideMark/>
          </w:tcPr>
          <w:p w14:paraId="300426D9"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hideMark/>
          </w:tcPr>
          <w:p w14:paraId="2A53282D"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53391BEA"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50F0CA7B"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hideMark/>
          </w:tcPr>
          <w:p w14:paraId="4094AECB" w14:textId="1C0A7B81"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230280FB" w14:textId="5930D024"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321AF1DB" w14:textId="40ADCB79"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4EBD1BC6" w14:textId="6663A4FD"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60CA54E5"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601120BA" w14:textId="77777777" w:rsidR="00B22526" w:rsidRPr="009D0009" w:rsidRDefault="00B22526" w:rsidP="008A6B9E">
            <w:pPr>
              <w:rPr>
                <w:sz w:val="20"/>
                <w:szCs w:val="20"/>
              </w:rPr>
            </w:pPr>
            <w:r w:rsidRPr="009D0009">
              <w:rPr>
                <w:sz w:val="20"/>
                <w:szCs w:val="20"/>
              </w:rPr>
              <w:t>2021</w:t>
            </w:r>
          </w:p>
        </w:tc>
        <w:tc>
          <w:tcPr>
            <w:tcW w:w="1045" w:type="dxa"/>
            <w:noWrap/>
            <w:hideMark/>
          </w:tcPr>
          <w:p w14:paraId="0C215824"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763F050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6AB03D2C"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0627AF35"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3B793F26" w14:textId="17BD7B6B"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357865CE" w14:textId="5B3474DD"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6E650DF" w14:textId="06741695"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2CB96E54" w14:textId="2E9312DE"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541BA4BB"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4D27C0DD" w14:textId="77777777" w:rsidR="00B22526" w:rsidRPr="009D0009" w:rsidRDefault="00B22526" w:rsidP="008A6B9E">
            <w:pPr>
              <w:rPr>
                <w:sz w:val="20"/>
                <w:szCs w:val="20"/>
              </w:rPr>
            </w:pPr>
            <w:r w:rsidRPr="009D0009">
              <w:rPr>
                <w:sz w:val="20"/>
                <w:szCs w:val="20"/>
              </w:rPr>
              <w:t>2022</w:t>
            </w:r>
          </w:p>
        </w:tc>
        <w:tc>
          <w:tcPr>
            <w:tcW w:w="1045" w:type="dxa"/>
            <w:noWrap/>
            <w:hideMark/>
          </w:tcPr>
          <w:p w14:paraId="091EB8CD"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hideMark/>
          </w:tcPr>
          <w:p w14:paraId="7AA45421"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0D3C7705"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63AEA60C"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hideMark/>
          </w:tcPr>
          <w:p w14:paraId="3E251325" w14:textId="5B47A617"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2F5C44CA" w14:textId="66BB9938"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01C7C4C4" w14:textId="45F1E384"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7D43C56" w14:textId="6BB2278D"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1ECBA177"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438B8395" w14:textId="77777777" w:rsidR="00B22526" w:rsidRPr="009D0009" w:rsidRDefault="00B22526" w:rsidP="008A6B9E">
            <w:pPr>
              <w:rPr>
                <w:sz w:val="20"/>
                <w:szCs w:val="20"/>
              </w:rPr>
            </w:pPr>
            <w:r w:rsidRPr="009D0009">
              <w:rPr>
                <w:sz w:val="20"/>
                <w:szCs w:val="20"/>
              </w:rPr>
              <w:t>2023</w:t>
            </w:r>
          </w:p>
        </w:tc>
        <w:tc>
          <w:tcPr>
            <w:tcW w:w="1045" w:type="dxa"/>
            <w:noWrap/>
            <w:hideMark/>
          </w:tcPr>
          <w:p w14:paraId="5A43C950"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758EE84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06714941"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43140048"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715B9070" w14:textId="2CA43BF1"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0C10110" w14:textId="339C5FCC"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7529DB3" w14:textId="1113E76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778C287" w14:textId="43A05F03"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17FBF543"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04FE25B4" w14:textId="77777777" w:rsidR="00B22526" w:rsidRPr="009D0009" w:rsidRDefault="00B22526" w:rsidP="008A6B9E">
            <w:pPr>
              <w:rPr>
                <w:sz w:val="20"/>
                <w:szCs w:val="20"/>
              </w:rPr>
            </w:pPr>
            <w:r w:rsidRPr="009D0009">
              <w:rPr>
                <w:sz w:val="20"/>
                <w:szCs w:val="20"/>
              </w:rPr>
              <w:t>2024</w:t>
            </w:r>
          </w:p>
        </w:tc>
        <w:tc>
          <w:tcPr>
            <w:tcW w:w="1045" w:type="dxa"/>
            <w:noWrap/>
            <w:hideMark/>
          </w:tcPr>
          <w:p w14:paraId="24F92B35"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hideMark/>
          </w:tcPr>
          <w:p w14:paraId="05FB484E"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141186B8"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7F6A0506"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hideMark/>
          </w:tcPr>
          <w:p w14:paraId="214FC2A0" w14:textId="7A69C9B5"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0BEA28F4" w14:textId="476C19DE"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3131CE4A" w14:textId="19292FE5"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5EC3C8D1" w14:textId="5C1F1A4A"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030D5C22"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37FCBE11" w14:textId="77777777" w:rsidR="00B22526" w:rsidRPr="009D0009" w:rsidRDefault="00B22526" w:rsidP="008A6B9E">
            <w:pPr>
              <w:rPr>
                <w:sz w:val="20"/>
                <w:szCs w:val="20"/>
              </w:rPr>
            </w:pPr>
            <w:r w:rsidRPr="009D0009">
              <w:rPr>
                <w:sz w:val="20"/>
                <w:szCs w:val="20"/>
              </w:rPr>
              <w:t>2025</w:t>
            </w:r>
          </w:p>
        </w:tc>
        <w:tc>
          <w:tcPr>
            <w:tcW w:w="1045" w:type="dxa"/>
            <w:noWrap/>
            <w:hideMark/>
          </w:tcPr>
          <w:p w14:paraId="76146AE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08558912"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54781BBA"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1ECCA48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2BCFE552" w14:textId="30406845"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19D4950" w14:textId="31ECDB4F"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A1269B0" w14:textId="66A6410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5F6D66CB" w14:textId="1319E039"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1243977B"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3294246C" w14:textId="77777777" w:rsidR="00B22526" w:rsidRPr="009D0009" w:rsidRDefault="00B22526" w:rsidP="008A6B9E">
            <w:pPr>
              <w:rPr>
                <w:sz w:val="20"/>
                <w:szCs w:val="20"/>
              </w:rPr>
            </w:pPr>
            <w:r w:rsidRPr="009D0009">
              <w:rPr>
                <w:sz w:val="20"/>
                <w:szCs w:val="20"/>
              </w:rPr>
              <w:t>2026</w:t>
            </w:r>
          </w:p>
        </w:tc>
        <w:tc>
          <w:tcPr>
            <w:tcW w:w="1045" w:type="dxa"/>
            <w:noWrap/>
            <w:hideMark/>
          </w:tcPr>
          <w:p w14:paraId="7846132F"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hideMark/>
          </w:tcPr>
          <w:p w14:paraId="335ADBA6"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3FA94699"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5C062682"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hideMark/>
          </w:tcPr>
          <w:p w14:paraId="73003BA4" w14:textId="62BB9809"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AFCEA6D" w14:textId="51C48D5A"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03BA4E5D" w14:textId="7C6F87BD"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1D5CF584" w14:textId="5DB759E4"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32875187"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46170AF2" w14:textId="77777777" w:rsidR="00B22526" w:rsidRPr="009D0009" w:rsidRDefault="00B22526" w:rsidP="008A6B9E">
            <w:pPr>
              <w:rPr>
                <w:sz w:val="20"/>
                <w:szCs w:val="20"/>
              </w:rPr>
            </w:pPr>
            <w:r w:rsidRPr="009D0009">
              <w:rPr>
                <w:sz w:val="20"/>
                <w:szCs w:val="20"/>
              </w:rPr>
              <w:t>2027</w:t>
            </w:r>
          </w:p>
        </w:tc>
        <w:tc>
          <w:tcPr>
            <w:tcW w:w="1045" w:type="dxa"/>
            <w:noWrap/>
            <w:hideMark/>
          </w:tcPr>
          <w:p w14:paraId="7D0BC7C4"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47FBB2F2"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1E0CDACA"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6E3227EF"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1532F0A4" w14:textId="5E005FCF"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5E467DF2" w14:textId="4F687C30"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515A99DC" w14:textId="76711E2B"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1BCD6ACF" w14:textId="6C9F4490"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16F8078F"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0C4F8914" w14:textId="77777777" w:rsidR="00B22526" w:rsidRPr="009D0009" w:rsidRDefault="00B22526" w:rsidP="008A6B9E">
            <w:pPr>
              <w:rPr>
                <w:sz w:val="20"/>
                <w:szCs w:val="20"/>
              </w:rPr>
            </w:pPr>
            <w:r w:rsidRPr="009D0009">
              <w:rPr>
                <w:sz w:val="20"/>
                <w:szCs w:val="20"/>
              </w:rPr>
              <w:t>2028</w:t>
            </w:r>
          </w:p>
        </w:tc>
        <w:tc>
          <w:tcPr>
            <w:tcW w:w="1045" w:type="dxa"/>
            <w:noWrap/>
            <w:hideMark/>
          </w:tcPr>
          <w:p w14:paraId="624A805B"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hideMark/>
          </w:tcPr>
          <w:p w14:paraId="5F2B16D2"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1317687C"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hideMark/>
          </w:tcPr>
          <w:p w14:paraId="041009A2"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hideMark/>
          </w:tcPr>
          <w:p w14:paraId="764E423F" w14:textId="35164C90"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33506625" w14:textId="3383FAB8"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2E6B6BA4" w14:textId="6936267B"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6A0D3004" w14:textId="5D6F1B04"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43ABFC92"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hideMark/>
          </w:tcPr>
          <w:p w14:paraId="4446C753" w14:textId="77777777" w:rsidR="00B22526" w:rsidRPr="009D0009" w:rsidRDefault="00B22526" w:rsidP="008A6B9E">
            <w:pPr>
              <w:rPr>
                <w:sz w:val="20"/>
                <w:szCs w:val="20"/>
              </w:rPr>
            </w:pPr>
            <w:r w:rsidRPr="009D0009">
              <w:rPr>
                <w:sz w:val="20"/>
                <w:szCs w:val="20"/>
              </w:rPr>
              <w:t>2029</w:t>
            </w:r>
          </w:p>
        </w:tc>
        <w:tc>
          <w:tcPr>
            <w:tcW w:w="1045" w:type="dxa"/>
            <w:noWrap/>
            <w:hideMark/>
          </w:tcPr>
          <w:p w14:paraId="6A5994D7"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hideMark/>
          </w:tcPr>
          <w:p w14:paraId="09AFE635"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3C1F3A86"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hideMark/>
          </w:tcPr>
          <w:p w14:paraId="1514F429"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hideMark/>
          </w:tcPr>
          <w:p w14:paraId="5FE77553" w14:textId="0A6C5C98"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4D8CE657" w14:textId="7A28FB85"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316D74BE" w14:textId="11462863"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c>
          <w:tcPr>
            <w:tcW w:w="1046" w:type="dxa"/>
            <w:noWrap/>
            <w:vAlign w:val="center"/>
            <w:hideMark/>
          </w:tcPr>
          <w:p w14:paraId="4F246E65" w14:textId="4B88163C"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2EF0">
              <w:rPr>
                <w:b/>
                <w:sz w:val="13"/>
                <w:szCs w:val="13"/>
              </w:rPr>
              <w:t>REDACTED</w:t>
            </w:r>
          </w:p>
        </w:tc>
      </w:tr>
      <w:tr w:rsidR="00B22526" w:rsidRPr="008A6B9E" w14:paraId="5B67B659"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tcPr>
          <w:p w14:paraId="38054BC0" w14:textId="77777777" w:rsidR="00B22526" w:rsidRPr="009D0009" w:rsidRDefault="00B22526" w:rsidP="008A6B9E">
            <w:pPr>
              <w:rPr>
                <w:sz w:val="20"/>
                <w:szCs w:val="20"/>
              </w:rPr>
            </w:pPr>
            <w:r w:rsidRPr="009D0009">
              <w:rPr>
                <w:sz w:val="20"/>
                <w:szCs w:val="20"/>
              </w:rPr>
              <w:t>2030</w:t>
            </w:r>
          </w:p>
        </w:tc>
        <w:tc>
          <w:tcPr>
            <w:tcW w:w="1045" w:type="dxa"/>
            <w:noWrap/>
          </w:tcPr>
          <w:p w14:paraId="3E37CF01"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tcPr>
          <w:p w14:paraId="7E0D336C"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tcPr>
          <w:p w14:paraId="5B7AC32C"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tcPr>
          <w:p w14:paraId="0F9E6274"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tcPr>
          <w:p w14:paraId="4A33AC18" w14:textId="3EC9E572"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3B5DF826" w14:textId="62742499"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1F05A512" w14:textId="1CACE7C9"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369A6028" w14:textId="3044DA92"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r>
      <w:tr w:rsidR="00B22526" w:rsidRPr="008A6B9E" w14:paraId="0B8EC412"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tcPr>
          <w:p w14:paraId="34CB49AD" w14:textId="77777777" w:rsidR="00B22526" w:rsidRPr="009D0009" w:rsidRDefault="00B22526" w:rsidP="008A6B9E">
            <w:pPr>
              <w:rPr>
                <w:sz w:val="20"/>
                <w:szCs w:val="20"/>
              </w:rPr>
            </w:pPr>
            <w:r w:rsidRPr="009D0009">
              <w:rPr>
                <w:sz w:val="20"/>
                <w:szCs w:val="20"/>
              </w:rPr>
              <w:t>2031</w:t>
            </w:r>
          </w:p>
        </w:tc>
        <w:tc>
          <w:tcPr>
            <w:tcW w:w="1045" w:type="dxa"/>
            <w:noWrap/>
          </w:tcPr>
          <w:p w14:paraId="75D6476A"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tcPr>
          <w:p w14:paraId="387E97FB"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tcPr>
          <w:p w14:paraId="6B99565E"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tcPr>
          <w:p w14:paraId="74933A59"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tcPr>
          <w:p w14:paraId="4F325F3E" w14:textId="5C81D0A1"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5A7CB18D" w14:textId="7B2D962A"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7CB45ADE" w14:textId="1EE6B5C2"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2E0EDF06" w14:textId="13D7878E"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r>
      <w:tr w:rsidR="00B22526" w:rsidRPr="008A6B9E" w14:paraId="663A520D" w14:textId="77777777" w:rsidTr="0004165E">
        <w:trPr>
          <w:trHeight w:val="312"/>
        </w:trPr>
        <w:tc>
          <w:tcPr>
            <w:cnfStyle w:val="001000000000" w:firstRow="0" w:lastRow="0" w:firstColumn="1" w:lastColumn="0" w:oddVBand="0" w:evenVBand="0" w:oddHBand="0" w:evenHBand="0" w:firstRowFirstColumn="0" w:firstRowLastColumn="0" w:lastRowFirstColumn="0" w:lastRowLastColumn="0"/>
            <w:tcW w:w="1210" w:type="dxa"/>
            <w:noWrap/>
          </w:tcPr>
          <w:p w14:paraId="7F04A6AD" w14:textId="77777777" w:rsidR="00B22526" w:rsidRPr="009D0009" w:rsidRDefault="00B22526" w:rsidP="008A6B9E">
            <w:pPr>
              <w:rPr>
                <w:sz w:val="20"/>
                <w:szCs w:val="20"/>
              </w:rPr>
            </w:pPr>
            <w:r w:rsidRPr="009D0009">
              <w:rPr>
                <w:sz w:val="20"/>
                <w:szCs w:val="20"/>
              </w:rPr>
              <w:t>2032</w:t>
            </w:r>
          </w:p>
        </w:tc>
        <w:tc>
          <w:tcPr>
            <w:tcW w:w="1045" w:type="dxa"/>
            <w:noWrap/>
          </w:tcPr>
          <w:p w14:paraId="707B2744"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noWrap/>
          </w:tcPr>
          <w:p w14:paraId="3F9E559D"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tcPr>
          <w:p w14:paraId="38472FE4"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tcPr>
          <w:p w14:paraId="1E051F16" w14:textId="77777777" w:rsidR="00B22526" w:rsidRPr="009D0009" w:rsidRDefault="00B22526" w:rsidP="00800C7E">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46" w:type="dxa"/>
            <w:noWrap/>
            <w:vAlign w:val="center"/>
          </w:tcPr>
          <w:p w14:paraId="45865FFD" w14:textId="4E780F47" w:rsidR="00B22526" w:rsidRPr="009D0009" w:rsidRDefault="00B22526" w:rsidP="00B225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4F1D5450" w14:textId="6EEEF593"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33384E04" w14:textId="604FFFFC"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1215B7D6" w14:textId="781C62DA" w:rsidR="00B22526" w:rsidRPr="009D0009" w:rsidRDefault="00B22526" w:rsidP="0004165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r>
      <w:tr w:rsidR="00B22526" w:rsidRPr="008A6B9E" w14:paraId="78DFD7AC" w14:textId="77777777" w:rsidTr="000416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0" w:type="dxa"/>
            <w:noWrap/>
          </w:tcPr>
          <w:p w14:paraId="666A973C" w14:textId="77777777" w:rsidR="00B22526" w:rsidRPr="009D0009" w:rsidRDefault="00B22526" w:rsidP="008A6B9E">
            <w:pPr>
              <w:rPr>
                <w:sz w:val="20"/>
                <w:szCs w:val="20"/>
              </w:rPr>
            </w:pPr>
            <w:r w:rsidRPr="009D0009">
              <w:rPr>
                <w:sz w:val="20"/>
                <w:szCs w:val="20"/>
              </w:rPr>
              <w:t>2033</w:t>
            </w:r>
          </w:p>
        </w:tc>
        <w:tc>
          <w:tcPr>
            <w:tcW w:w="1045" w:type="dxa"/>
            <w:noWrap/>
          </w:tcPr>
          <w:p w14:paraId="2238C2D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5" w:type="dxa"/>
            <w:noWrap/>
          </w:tcPr>
          <w:p w14:paraId="7696CCF3"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tcPr>
          <w:p w14:paraId="12417E3E"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tcPr>
          <w:p w14:paraId="7594BCA7" w14:textId="77777777" w:rsidR="00B22526" w:rsidRPr="009D0009" w:rsidRDefault="00B22526" w:rsidP="00800C7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46" w:type="dxa"/>
            <w:noWrap/>
            <w:vAlign w:val="center"/>
          </w:tcPr>
          <w:p w14:paraId="66165258" w14:textId="74092C25" w:rsidR="00B22526" w:rsidRPr="009D0009" w:rsidRDefault="00B22526" w:rsidP="00B2252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0161E798" w14:textId="1EEF7750"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23FE5BBB" w14:textId="63C0F2E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c>
          <w:tcPr>
            <w:tcW w:w="1046" w:type="dxa"/>
            <w:noWrap/>
            <w:vAlign w:val="center"/>
          </w:tcPr>
          <w:p w14:paraId="7011E089" w14:textId="7C329221" w:rsidR="00B22526" w:rsidRPr="009D0009" w:rsidRDefault="00B22526" w:rsidP="0004165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yellow"/>
              </w:rPr>
            </w:pPr>
            <w:r w:rsidRPr="00772EF0">
              <w:rPr>
                <w:b/>
                <w:sz w:val="13"/>
                <w:szCs w:val="13"/>
              </w:rPr>
              <w:t>REDACTED</w:t>
            </w:r>
          </w:p>
        </w:tc>
      </w:tr>
    </w:tbl>
    <w:p w14:paraId="3E61D94C" w14:textId="77777777" w:rsidR="008C3CAF" w:rsidRPr="008A6B9E" w:rsidRDefault="008C3CAF" w:rsidP="008C3CAF"/>
    <w:p w14:paraId="4AD9FD2B" w14:textId="4B0418EF" w:rsidR="00EC091F" w:rsidRDefault="00EC091F" w:rsidP="00EC091F">
      <w:pPr>
        <w:ind w:firstLine="720"/>
      </w:pPr>
      <w:r w:rsidRPr="008A6B9E">
        <w:t>Fr</w:t>
      </w:r>
      <w:r>
        <w:t xml:space="preserve">om this table, it is evident that there was no incremental DUMP energy prior to </w:t>
      </w:r>
      <w:r w:rsidRPr="00E75FD6">
        <w:t>the 5000MW</w:t>
      </w:r>
      <w:r>
        <w:t xml:space="preserve"> distributed solar </w:t>
      </w:r>
      <w:r w:rsidR="00AB00C7">
        <w:t>tranche</w:t>
      </w:r>
      <w:r>
        <w:t xml:space="preserve">.  This indicates that the system </w:t>
      </w:r>
      <w:r w:rsidR="00586840">
        <w:t>should</w:t>
      </w:r>
      <w:r>
        <w:t xml:space="preserve"> be able to recommit around known and reliable solar energy profiles up to the point of having </w:t>
      </w:r>
      <w:r w:rsidRPr="00E75FD6">
        <w:t>around 5000MW of solar.</w:t>
      </w:r>
      <w:r>
        <w:t xml:space="preserve">  This is not to say there would not be bottom out conditions attributable to solar prior </w:t>
      </w:r>
      <w:r w:rsidRPr="00E75FD6">
        <w:t>to 5000MW</w:t>
      </w:r>
      <w:r>
        <w:t xml:space="preserve"> of penetration, but </w:t>
      </w:r>
      <w:r w:rsidR="001E1CA2">
        <w:t xml:space="preserve">rather </w:t>
      </w:r>
      <w:r>
        <w:t>such conditions could be more readily expected</w:t>
      </w:r>
      <w:r w:rsidR="001E1CA2">
        <w:t xml:space="preserve"> at penetration levels of 5000MW and above</w:t>
      </w:r>
      <w:r>
        <w:t>.  It should be noted that Utility Scale solar implementations that have significantly higher capacity factors are likely to result in greater amounts of DUMP energy at lower levels of penetration.</w:t>
      </w:r>
    </w:p>
    <w:p w14:paraId="27D23C2E" w14:textId="636E2826" w:rsidR="008A6B9E" w:rsidRDefault="009061A6" w:rsidP="009061A6">
      <w:pPr>
        <w:ind w:firstLine="720"/>
      </w:pPr>
      <w:r>
        <w:t xml:space="preserve">The hourly incremental DUMP energy represented by the aggregate annual DUMP energy was valued at the </w:t>
      </w:r>
      <w:r w:rsidR="00A7373E">
        <w:t>hourly-avoided</w:t>
      </w:r>
      <w:r>
        <w:t xml:space="preserve"> energy costs to determine the cost of </w:t>
      </w:r>
      <w:r w:rsidR="00AB00C7">
        <w:t xml:space="preserve">Bottom </w:t>
      </w:r>
      <w:r>
        <w:t>Out conditions associated with distributed solar.</w:t>
      </w:r>
      <w:r w:rsidR="00407AEF">
        <w:t xml:space="preserve">  The result of this evaluation is shown in Table </w:t>
      </w:r>
      <w:r w:rsidR="006F52BF">
        <w:t>2</w:t>
      </w:r>
      <w:r w:rsidR="00E02BB5">
        <w:t>7</w:t>
      </w:r>
      <w:r w:rsidR="006F52BF">
        <w:t xml:space="preserve"> </w:t>
      </w:r>
      <w:r w:rsidR="00407AEF">
        <w:t>below.</w:t>
      </w:r>
    </w:p>
    <w:p w14:paraId="475B7738" w14:textId="77777777" w:rsidR="00E279EC" w:rsidRPr="008A6B9E" w:rsidRDefault="00E279EC" w:rsidP="009061A6">
      <w:pPr>
        <w:ind w:firstLine="720"/>
      </w:pPr>
    </w:p>
    <w:p w14:paraId="1AF97643" w14:textId="77777777" w:rsidR="008A6B9E" w:rsidRDefault="008A6B9E" w:rsidP="00A52E43">
      <w:pPr>
        <w:rPr>
          <w:b/>
        </w:rPr>
      </w:pPr>
      <w:r>
        <w:rPr>
          <w:b/>
        </w:rPr>
        <w:t xml:space="preserve">Table </w:t>
      </w:r>
      <w:r w:rsidR="00742F4E">
        <w:rPr>
          <w:b/>
        </w:rPr>
        <w:t>2</w:t>
      </w:r>
      <w:r w:rsidR="00E02BB5">
        <w:rPr>
          <w:b/>
        </w:rPr>
        <w:t>7</w:t>
      </w:r>
      <w:r w:rsidR="00AB00C7">
        <w:rPr>
          <w:b/>
        </w:rPr>
        <w:t xml:space="preserve">: </w:t>
      </w:r>
      <w:r w:rsidR="00D1093E">
        <w:rPr>
          <w:b/>
        </w:rPr>
        <w:t xml:space="preserve">Bottom </w:t>
      </w:r>
      <w:proofErr w:type="gramStart"/>
      <w:r w:rsidR="00D1093E">
        <w:rPr>
          <w:b/>
        </w:rPr>
        <w:t>Out</w:t>
      </w:r>
      <w:proofErr w:type="gramEnd"/>
      <w:r w:rsidR="00407AEF">
        <w:rPr>
          <w:b/>
        </w:rPr>
        <w:t xml:space="preserve"> Costs (M</w:t>
      </w:r>
      <w:r w:rsidR="00742F4E">
        <w:rPr>
          <w:b/>
        </w:rPr>
        <w:t>illions of Dollars</w:t>
      </w:r>
      <w:r w:rsidR="00407AEF">
        <w:rPr>
          <w:b/>
        </w:rPr>
        <w:t>)</w:t>
      </w:r>
    </w:p>
    <w:tbl>
      <w:tblPr>
        <w:tblStyle w:val="LightList-Accent1"/>
        <w:tblW w:w="0" w:type="auto"/>
        <w:tblLook w:val="04A0" w:firstRow="1" w:lastRow="0" w:firstColumn="1" w:lastColumn="0" w:noHBand="0" w:noVBand="1"/>
      </w:tblPr>
      <w:tblGrid>
        <w:gridCol w:w="2434"/>
        <w:gridCol w:w="818"/>
        <w:gridCol w:w="792"/>
        <w:gridCol w:w="922"/>
        <w:gridCol w:w="922"/>
        <w:gridCol w:w="922"/>
        <w:gridCol w:w="951"/>
        <w:gridCol w:w="809"/>
        <w:gridCol w:w="1006"/>
      </w:tblGrid>
      <w:tr w:rsidR="00CB2DA9" w:rsidRPr="00800C7E" w14:paraId="6FE6EE8D" w14:textId="77777777" w:rsidTr="0004165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5" w:type="dxa"/>
            <w:noWrap/>
            <w:hideMark/>
          </w:tcPr>
          <w:p w14:paraId="063A157E" w14:textId="77777777" w:rsidR="008B7FEC" w:rsidRPr="00800C7E" w:rsidRDefault="008B7FEC" w:rsidP="0074393C">
            <w:pPr>
              <w:rPr>
                <w:sz w:val="20"/>
              </w:rPr>
            </w:pPr>
            <w:r w:rsidRPr="00800C7E">
              <w:rPr>
                <w:sz w:val="20"/>
              </w:rPr>
              <w:t xml:space="preserve">Solar </w:t>
            </w:r>
            <w:r>
              <w:rPr>
                <w:sz w:val="20"/>
              </w:rPr>
              <w:t>Tranche</w:t>
            </w:r>
          </w:p>
        </w:tc>
        <w:tc>
          <w:tcPr>
            <w:tcW w:w="818" w:type="dxa"/>
            <w:noWrap/>
            <w:hideMark/>
          </w:tcPr>
          <w:p w14:paraId="7D5726E3"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1000</w:t>
            </w:r>
          </w:p>
        </w:tc>
        <w:tc>
          <w:tcPr>
            <w:tcW w:w="791" w:type="dxa"/>
            <w:noWrap/>
            <w:hideMark/>
          </w:tcPr>
          <w:p w14:paraId="137BC170"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2000</w:t>
            </w:r>
          </w:p>
        </w:tc>
        <w:tc>
          <w:tcPr>
            <w:tcW w:w="922" w:type="dxa"/>
            <w:noWrap/>
            <w:hideMark/>
          </w:tcPr>
          <w:p w14:paraId="0DB8999E"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3000</w:t>
            </w:r>
          </w:p>
        </w:tc>
        <w:tc>
          <w:tcPr>
            <w:tcW w:w="922" w:type="dxa"/>
            <w:noWrap/>
            <w:hideMark/>
          </w:tcPr>
          <w:p w14:paraId="7DE9F126"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4000</w:t>
            </w:r>
          </w:p>
        </w:tc>
        <w:tc>
          <w:tcPr>
            <w:tcW w:w="922" w:type="dxa"/>
            <w:noWrap/>
            <w:hideMark/>
          </w:tcPr>
          <w:p w14:paraId="12D54C33"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5000</w:t>
            </w:r>
          </w:p>
        </w:tc>
        <w:tc>
          <w:tcPr>
            <w:tcW w:w="951" w:type="dxa"/>
            <w:noWrap/>
            <w:hideMark/>
          </w:tcPr>
          <w:p w14:paraId="1BD8EAB7"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6000</w:t>
            </w:r>
          </w:p>
        </w:tc>
        <w:tc>
          <w:tcPr>
            <w:tcW w:w="809" w:type="dxa"/>
            <w:noWrap/>
            <w:hideMark/>
          </w:tcPr>
          <w:p w14:paraId="6BB12C12"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7000</w:t>
            </w:r>
          </w:p>
        </w:tc>
        <w:tc>
          <w:tcPr>
            <w:tcW w:w="1006" w:type="dxa"/>
            <w:noWrap/>
            <w:hideMark/>
          </w:tcPr>
          <w:p w14:paraId="06F49438" w14:textId="77777777" w:rsidR="008B7FEC" w:rsidRPr="00800C7E" w:rsidRDefault="008B7FEC" w:rsidP="0074393C">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8000</w:t>
            </w:r>
          </w:p>
        </w:tc>
      </w:tr>
      <w:tr w:rsidR="00B22526" w:rsidRPr="00800C7E" w14:paraId="531D05B5"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5" w:type="dxa"/>
            <w:noWrap/>
            <w:hideMark/>
          </w:tcPr>
          <w:p w14:paraId="095A78A2" w14:textId="6C03FD8B" w:rsidR="00B22526" w:rsidRPr="00800C7E" w:rsidRDefault="00B22526" w:rsidP="0074393C">
            <w:pPr>
              <w:rPr>
                <w:sz w:val="20"/>
              </w:rPr>
            </w:pPr>
            <w:r>
              <w:rPr>
                <w:sz w:val="20"/>
              </w:rPr>
              <w:t>Incremental PV (2015 M$)</w:t>
            </w:r>
          </w:p>
        </w:tc>
        <w:tc>
          <w:tcPr>
            <w:tcW w:w="818" w:type="dxa"/>
            <w:noWrap/>
            <w:vAlign w:val="center"/>
            <w:hideMark/>
          </w:tcPr>
          <w:p w14:paraId="6ED2976B" w14:textId="3B1CE783" w:rsidR="00B22526" w:rsidRPr="00775E0E" w:rsidRDefault="00B22526" w:rsidP="00B22526">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ED47C0">
              <w:rPr>
                <w:b/>
                <w:sz w:val="13"/>
                <w:szCs w:val="13"/>
              </w:rPr>
              <w:t>REDACTED</w:t>
            </w:r>
          </w:p>
        </w:tc>
        <w:tc>
          <w:tcPr>
            <w:tcW w:w="791" w:type="dxa"/>
            <w:noWrap/>
            <w:vAlign w:val="center"/>
            <w:hideMark/>
          </w:tcPr>
          <w:p w14:paraId="2007E965" w14:textId="5EEA593D"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ED47C0">
              <w:rPr>
                <w:b/>
                <w:sz w:val="13"/>
                <w:szCs w:val="13"/>
              </w:rPr>
              <w:t>REDACTED</w:t>
            </w:r>
          </w:p>
        </w:tc>
        <w:tc>
          <w:tcPr>
            <w:tcW w:w="922" w:type="dxa"/>
            <w:noWrap/>
            <w:vAlign w:val="center"/>
            <w:hideMark/>
          </w:tcPr>
          <w:p w14:paraId="6A919564" w14:textId="5F6E7264"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ED47C0">
              <w:rPr>
                <w:b/>
                <w:sz w:val="13"/>
                <w:szCs w:val="13"/>
              </w:rPr>
              <w:t>REDACTED</w:t>
            </w:r>
          </w:p>
        </w:tc>
        <w:tc>
          <w:tcPr>
            <w:tcW w:w="922" w:type="dxa"/>
            <w:noWrap/>
            <w:vAlign w:val="center"/>
            <w:hideMark/>
          </w:tcPr>
          <w:p w14:paraId="6E1D0507" w14:textId="2B27627C"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ED47C0">
              <w:rPr>
                <w:b/>
                <w:sz w:val="13"/>
                <w:szCs w:val="13"/>
              </w:rPr>
              <w:t>REDACTED</w:t>
            </w:r>
          </w:p>
        </w:tc>
        <w:tc>
          <w:tcPr>
            <w:tcW w:w="922" w:type="dxa"/>
            <w:noWrap/>
            <w:vAlign w:val="center"/>
            <w:hideMark/>
          </w:tcPr>
          <w:p w14:paraId="6A56C65E" w14:textId="24D24DCE"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ED47C0">
              <w:rPr>
                <w:b/>
                <w:sz w:val="13"/>
                <w:szCs w:val="13"/>
              </w:rPr>
              <w:t>REDACTED</w:t>
            </w:r>
          </w:p>
        </w:tc>
        <w:tc>
          <w:tcPr>
            <w:tcW w:w="951" w:type="dxa"/>
            <w:noWrap/>
            <w:vAlign w:val="center"/>
            <w:hideMark/>
          </w:tcPr>
          <w:p w14:paraId="1E04E27C" w14:textId="4A0486DF"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ED47C0">
              <w:rPr>
                <w:b/>
                <w:sz w:val="13"/>
                <w:szCs w:val="13"/>
              </w:rPr>
              <w:t>REDACTED</w:t>
            </w:r>
          </w:p>
        </w:tc>
        <w:tc>
          <w:tcPr>
            <w:tcW w:w="809" w:type="dxa"/>
            <w:noWrap/>
            <w:vAlign w:val="center"/>
            <w:hideMark/>
          </w:tcPr>
          <w:p w14:paraId="3C717CD3" w14:textId="540986AB"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ED47C0">
              <w:rPr>
                <w:b/>
                <w:sz w:val="13"/>
                <w:szCs w:val="13"/>
              </w:rPr>
              <w:t>REDACTED</w:t>
            </w:r>
          </w:p>
        </w:tc>
        <w:tc>
          <w:tcPr>
            <w:tcW w:w="1006" w:type="dxa"/>
            <w:noWrap/>
            <w:vAlign w:val="center"/>
            <w:hideMark/>
          </w:tcPr>
          <w:p w14:paraId="68CE72F5" w14:textId="736BA74B"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ED47C0">
              <w:rPr>
                <w:b/>
                <w:sz w:val="13"/>
                <w:szCs w:val="13"/>
              </w:rPr>
              <w:t>REDACTED</w:t>
            </w:r>
          </w:p>
        </w:tc>
      </w:tr>
    </w:tbl>
    <w:p w14:paraId="1E11196F" w14:textId="62B70CA1" w:rsidR="008A6B9E" w:rsidRDefault="009D0009" w:rsidP="00A52E43">
      <w:pPr>
        <w:rPr>
          <w:b/>
        </w:rPr>
      </w:pPr>
      <w:r>
        <w:t>Negative values in this table represent costs.</w:t>
      </w:r>
    </w:p>
    <w:p w14:paraId="11097571" w14:textId="028A08AE" w:rsidR="00407AEF" w:rsidRDefault="00407AEF" w:rsidP="00407AEF">
      <w:pPr>
        <w:ind w:firstLine="720"/>
      </w:pPr>
      <w:proofErr w:type="gramStart"/>
      <w:r>
        <w:t>These</w:t>
      </w:r>
      <w:proofErr w:type="gramEnd"/>
      <w:r>
        <w:t xml:space="preserve"> Bottom Out costs for each solar </w:t>
      </w:r>
      <w:r w:rsidR="00AB00C7">
        <w:t>tranch</w:t>
      </w:r>
      <w:r w:rsidR="007F4FC0">
        <w:t>e</w:t>
      </w:r>
      <w:r w:rsidR="00AB00C7">
        <w:t xml:space="preserve"> </w:t>
      </w:r>
      <w:r>
        <w:t>were then</w:t>
      </w:r>
      <w:r w:rsidR="007E48C4">
        <w:t xml:space="preserve"> </w:t>
      </w:r>
      <w:r>
        <w:t xml:space="preserve">levelized on a 30-year basis using an </w:t>
      </w:r>
      <w:r w:rsidR="005267D4">
        <w:rPr>
          <w:b/>
        </w:rPr>
        <w:t>REDACTED</w:t>
      </w:r>
      <w:r>
        <w:t xml:space="preserve"> WACC resulting in the avoided </w:t>
      </w:r>
      <w:r w:rsidR="00701578">
        <w:t xml:space="preserve">bottom out </w:t>
      </w:r>
      <w:r>
        <w:t xml:space="preserve">costs in Table </w:t>
      </w:r>
      <w:r w:rsidR="00FC710A">
        <w:t>2</w:t>
      </w:r>
      <w:r w:rsidR="00E02BB5">
        <w:t>8</w:t>
      </w:r>
      <w:r w:rsidR="00FC710A">
        <w:t xml:space="preserve"> </w:t>
      </w:r>
      <w:r>
        <w:t>below.</w:t>
      </w:r>
    </w:p>
    <w:p w14:paraId="7E17F665" w14:textId="21056345" w:rsidR="008A6B9E" w:rsidRDefault="00407AEF" w:rsidP="00407AEF">
      <w:pPr>
        <w:rPr>
          <w:b/>
        </w:rPr>
      </w:pPr>
      <w:r>
        <w:rPr>
          <w:b/>
        </w:rPr>
        <w:lastRenderedPageBreak/>
        <w:t xml:space="preserve">Table </w:t>
      </w:r>
      <w:r w:rsidR="00233D29">
        <w:rPr>
          <w:b/>
        </w:rPr>
        <w:t>2</w:t>
      </w:r>
      <w:r w:rsidR="00E02BB5">
        <w:rPr>
          <w:b/>
        </w:rPr>
        <w:t>8</w:t>
      </w:r>
      <w:r w:rsidR="00AB00C7">
        <w:rPr>
          <w:b/>
        </w:rPr>
        <w:t xml:space="preserve">: </w:t>
      </w:r>
      <w:r w:rsidR="00D1093E">
        <w:rPr>
          <w:b/>
        </w:rPr>
        <w:t>Levelized</w:t>
      </w:r>
      <w:r w:rsidR="00A856FA">
        <w:rPr>
          <w:b/>
        </w:rPr>
        <w:t xml:space="preserve"> </w:t>
      </w:r>
      <w:r w:rsidR="00AB00C7">
        <w:rPr>
          <w:b/>
        </w:rPr>
        <w:t xml:space="preserve">Bottom </w:t>
      </w:r>
      <w:r>
        <w:rPr>
          <w:b/>
        </w:rPr>
        <w:t>Out Costs</w:t>
      </w:r>
      <w:r w:rsidR="00A856FA">
        <w:rPr>
          <w:b/>
        </w:rPr>
        <w:t xml:space="preserve"> ($/MWH)</w:t>
      </w:r>
    </w:p>
    <w:tbl>
      <w:tblPr>
        <w:tblStyle w:val="LightList-Accent1"/>
        <w:tblW w:w="0" w:type="auto"/>
        <w:tblLook w:val="04A0" w:firstRow="1" w:lastRow="0" w:firstColumn="1" w:lastColumn="0" w:noHBand="0" w:noVBand="1"/>
      </w:tblPr>
      <w:tblGrid>
        <w:gridCol w:w="2159"/>
        <w:gridCol w:w="928"/>
        <w:gridCol w:w="927"/>
        <w:gridCol w:w="927"/>
        <w:gridCol w:w="927"/>
        <w:gridCol w:w="927"/>
        <w:gridCol w:w="927"/>
        <w:gridCol w:w="927"/>
        <w:gridCol w:w="927"/>
      </w:tblGrid>
      <w:tr w:rsidR="00C936AA" w:rsidRPr="00800C7E" w14:paraId="45C465EB" w14:textId="77777777" w:rsidTr="00920A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78547175" w14:textId="77777777" w:rsidR="00C936AA" w:rsidRPr="00800C7E" w:rsidRDefault="00C936AA" w:rsidP="007F4FC0">
            <w:pPr>
              <w:rPr>
                <w:sz w:val="20"/>
              </w:rPr>
            </w:pPr>
            <w:r w:rsidRPr="00800C7E">
              <w:rPr>
                <w:sz w:val="20"/>
              </w:rPr>
              <w:t xml:space="preserve">Solar </w:t>
            </w:r>
            <w:r>
              <w:rPr>
                <w:sz w:val="20"/>
              </w:rPr>
              <w:t>Tranche</w:t>
            </w:r>
          </w:p>
        </w:tc>
        <w:tc>
          <w:tcPr>
            <w:tcW w:w="928" w:type="dxa"/>
            <w:noWrap/>
            <w:hideMark/>
          </w:tcPr>
          <w:p w14:paraId="5A917D94"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1000</w:t>
            </w:r>
          </w:p>
        </w:tc>
        <w:tc>
          <w:tcPr>
            <w:tcW w:w="927" w:type="dxa"/>
            <w:noWrap/>
            <w:hideMark/>
          </w:tcPr>
          <w:p w14:paraId="1A8B7C25"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2000</w:t>
            </w:r>
          </w:p>
        </w:tc>
        <w:tc>
          <w:tcPr>
            <w:tcW w:w="927" w:type="dxa"/>
            <w:noWrap/>
            <w:hideMark/>
          </w:tcPr>
          <w:p w14:paraId="74266810"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3000</w:t>
            </w:r>
          </w:p>
        </w:tc>
        <w:tc>
          <w:tcPr>
            <w:tcW w:w="927" w:type="dxa"/>
            <w:noWrap/>
            <w:hideMark/>
          </w:tcPr>
          <w:p w14:paraId="007318BD"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4000</w:t>
            </w:r>
          </w:p>
        </w:tc>
        <w:tc>
          <w:tcPr>
            <w:tcW w:w="927" w:type="dxa"/>
            <w:noWrap/>
            <w:hideMark/>
          </w:tcPr>
          <w:p w14:paraId="5A88C5ED"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5000</w:t>
            </w:r>
          </w:p>
        </w:tc>
        <w:tc>
          <w:tcPr>
            <w:tcW w:w="927" w:type="dxa"/>
            <w:noWrap/>
            <w:hideMark/>
          </w:tcPr>
          <w:p w14:paraId="4C1E08F0"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6000</w:t>
            </w:r>
          </w:p>
        </w:tc>
        <w:tc>
          <w:tcPr>
            <w:tcW w:w="927" w:type="dxa"/>
            <w:noWrap/>
            <w:hideMark/>
          </w:tcPr>
          <w:p w14:paraId="3749BD73"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7000</w:t>
            </w:r>
          </w:p>
        </w:tc>
        <w:tc>
          <w:tcPr>
            <w:tcW w:w="927" w:type="dxa"/>
            <w:noWrap/>
            <w:hideMark/>
          </w:tcPr>
          <w:p w14:paraId="22F5AB96" w14:textId="77777777" w:rsidR="00C936AA" w:rsidRPr="00800C7E" w:rsidRDefault="00C936AA" w:rsidP="00800C7E">
            <w:pPr>
              <w:jc w:val="center"/>
              <w:cnfStyle w:val="100000000000" w:firstRow="1" w:lastRow="0" w:firstColumn="0" w:lastColumn="0" w:oddVBand="0" w:evenVBand="0" w:oddHBand="0" w:evenHBand="0" w:firstRowFirstColumn="0" w:firstRowLastColumn="0" w:lastRowFirstColumn="0" w:lastRowLastColumn="0"/>
              <w:rPr>
                <w:sz w:val="20"/>
              </w:rPr>
            </w:pPr>
            <w:r w:rsidRPr="00742F4E">
              <w:rPr>
                <w:rFonts w:ascii="Calibri" w:eastAsia="Times New Roman" w:hAnsi="Calibri" w:cs="Times New Roman"/>
              </w:rPr>
              <w:t>8000</w:t>
            </w:r>
          </w:p>
        </w:tc>
      </w:tr>
      <w:tr w:rsidR="00B22526" w:rsidRPr="00800C7E" w14:paraId="48410B9A" w14:textId="77777777" w:rsidTr="00041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9" w:type="dxa"/>
            <w:noWrap/>
            <w:hideMark/>
          </w:tcPr>
          <w:p w14:paraId="1A86CCB4" w14:textId="77777777" w:rsidR="00B22526" w:rsidRPr="00800C7E" w:rsidRDefault="00B22526" w:rsidP="00407AEF">
            <w:pPr>
              <w:rPr>
                <w:sz w:val="20"/>
              </w:rPr>
            </w:pPr>
            <w:r w:rsidRPr="00800C7E">
              <w:rPr>
                <w:sz w:val="20"/>
              </w:rPr>
              <w:t>Bottom Out Costs</w:t>
            </w:r>
          </w:p>
        </w:tc>
        <w:tc>
          <w:tcPr>
            <w:tcW w:w="928" w:type="dxa"/>
            <w:noWrap/>
            <w:vAlign w:val="center"/>
            <w:hideMark/>
          </w:tcPr>
          <w:p w14:paraId="4067D12F" w14:textId="03FDD0DA" w:rsidR="00B22526" w:rsidRPr="00775E0E" w:rsidRDefault="00B22526" w:rsidP="00B22526">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F914E9">
              <w:rPr>
                <w:b/>
                <w:sz w:val="13"/>
                <w:szCs w:val="13"/>
              </w:rPr>
              <w:t>REDACTED</w:t>
            </w:r>
          </w:p>
        </w:tc>
        <w:tc>
          <w:tcPr>
            <w:tcW w:w="927" w:type="dxa"/>
            <w:noWrap/>
            <w:vAlign w:val="center"/>
            <w:hideMark/>
          </w:tcPr>
          <w:p w14:paraId="69D0CFF6" w14:textId="3B41DE30"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F914E9">
              <w:rPr>
                <w:b/>
                <w:sz w:val="13"/>
                <w:szCs w:val="13"/>
              </w:rPr>
              <w:t>REDACTED</w:t>
            </w:r>
          </w:p>
        </w:tc>
        <w:tc>
          <w:tcPr>
            <w:tcW w:w="927" w:type="dxa"/>
            <w:noWrap/>
            <w:vAlign w:val="center"/>
            <w:hideMark/>
          </w:tcPr>
          <w:p w14:paraId="0AC7130C" w14:textId="68F5AA9B"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F914E9">
              <w:rPr>
                <w:b/>
                <w:sz w:val="13"/>
                <w:szCs w:val="13"/>
              </w:rPr>
              <w:t>REDACTED</w:t>
            </w:r>
          </w:p>
        </w:tc>
        <w:tc>
          <w:tcPr>
            <w:tcW w:w="927" w:type="dxa"/>
            <w:noWrap/>
            <w:vAlign w:val="center"/>
            <w:hideMark/>
          </w:tcPr>
          <w:p w14:paraId="12325E72" w14:textId="339EEDFA"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F914E9">
              <w:rPr>
                <w:b/>
                <w:sz w:val="13"/>
                <w:szCs w:val="13"/>
              </w:rPr>
              <w:t>REDACTED</w:t>
            </w:r>
          </w:p>
        </w:tc>
        <w:tc>
          <w:tcPr>
            <w:tcW w:w="927" w:type="dxa"/>
            <w:noWrap/>
            <w:vAlign w:val="center"/>
            <w:hideMark/>
          </w:tcPr>
          <w:p w14:paraId="315DFFE6" w14:textId="731C5859"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F914E9">
              <w:rPr>
                <w:b/>
                <w:sz w:val="13"/>
                <w:szCs w:val="13"/>
              </w:rPr>
              <w:t>REDACTED</w:t>
            </w:r>
          </w:p>
        </w:tc>
        <w:tc>
          <w:tcPr>
            <w:tcW w:w="927" w:type="dxa"/>
            <w:noWrap/>
            <w:vAlign w:val="center"/>
            <w:hideMark/>
          </w:tcPr>
          <w:p w14:paraId="7E2EF524" w14:textId="217647F1"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F914E9">
              <w:rPr>
                <w:b/>
                <w:sz w:val="13"/>
                <w:szCs w:val="13"/>
              </w:rPr>
              <w:t>REDACTED</w:t>
            </w:r>
          </w:p>
        </w:tc>
        <w:tc>
          <w:tcPr>
            <w:tcW w:w="927" w:type="dxa"/>
            <w:noWrap/>
            <w:vAlign w:val="center"/>
            <w:hideMark/>
          </w:tcPr>
          <w:p w14:paraId="6A7F5711" w14:textId="51B2BAE5"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F914E9">
              <w:rPr>
                <w:b/>
                <w:sz w:val="13"/>
                <w:szCs w:val="13"/>
              </w:rPr>
              <w:t>REDACTED</w:t>
            </w:r>
          </w:p>
        </w:tc>
        <w:tc>
          <w:tcPr>
            <w:tcW w:w="927" w:type="dxa"/>
            <w:noWrap/>
            <w:vAlign w:val="center"/>
            <w:hideMark/>
          </w:tcPr>
          <w:p w14:paraId="323C2415" w14:textId="50B8D4EF" w:rsidR="00B22526" w:rsidRPr="00775E0E" w:rsidRDefault="00B22526" w:rsidP="0004165E">
            <w:pPr>
              <w:jc w:val="center"/>
              <w:cnfStyle w:val="000000100000" w:firstRow="0" w:lastRow="0" w:firstColumn="0" w:lastColumn="0" w:oddVBand="0" w:evenVBand="0" w:oddHBand="1" w:evenHBand="0" w:firstRowFirstColumn="0" w:firstRowLastColumn="0" w:lastRowFirstColumn="0" w:lastRowLastColumn="0"/>
              <w:rPr>
                <w:b/>
                <w:color w:val="FF0000"/>
                <w:sz w:val="20"/>
                <w:szCs w:val="20"/>
                <w:highlight w:val="yellow"/>
              </w:rPr>
            </w:pPr>
            <w:r w:rsidRPr="00F914E9">
              <w:rPr>
                <w:b/>
                <w:sz w:val="13"/>
                <w:szCs w:val="13"/>
              </w:rPr>
              <w:t>REDACTED</w:t>
            </w:r>
          </w:p>
        </w:tc>
      </w:tr>
    </w:tbl>
    <w:p w14:paraId="0266E1D9" w14:textId="77777777" w:rsidR="00A856FA" w:rsidRDefault="00A856FA" w:rsidP="00A856FA">
      <w:r>
        <w:t>Negative values represent cost</w:t>
      </w:r>
      <w:r w:rsidR="00C936AA">
        <w:t>s</w:t>
      </w:r>
      <w:r>
        <w:t xml:space="preserve"> in the cost benefit determination.</w:t>
      </w:r>
    </w:p>
    <w:p w14:paraId="3FF2FF93" w14:textId="77777777" w:rsidR="008A6B9E" w:rsidRDefault="008A6B9E" w:rsidP="00A52E43">
      <w:pPr>
        <w:rPr>
          <w:b/>
        </w:rPr>
      </w:pPr>
    </w:p>
    <w:p w14:paraId="684377A7" w14:textId="08B740AD" w:rsidR="00A52E43" w:rsidRDefault="00516AD4" w:rsidP="00A52E43">
      <w:pPr>
        <w:rPr>
          <w:b/>
        </w:rPr>
      </w:pPr>
      <w:r>
        <w:rPr>
          <w:b/>
        </w:rPr>
        <w:t>Long Term Service Agreement</w:t>
      </w:r>
      <w:r w:rsidR="00A52E43">
        <w:rPr>
          <w:b/>
        </w:rPr>
        <w:t xml:space="preserve"> </w:t>
      </w:r>
      <w:r w:rsidR="003F3C7A">
        <w:rPr>
          <w:b/>
        </w:rPr>
        <w:t xml:space="preserve">(LTSA) </w:t>
      </w:r>
      <w:r w:rsidR="00A52E43">
        <w:rPr>
          <w:b/>
        </w:rPr>
        <w:t>Maintenance</w:t>
      </w:r>
      <w:r w:rsidR="00A52E43" w:rsidRPr="006C7551">
        <w:rPr>
          <w:b/>
        </w:rPr>
        <w:t xml:space="preserve"> Costs</w:t>
      </w:r>
    </w:p>
    <w:p w14:paraId="7F523CEC" w14:textId="77777777" w:rsidR="00BA56B5" w:rsidRPr="00320F16" w:rsidRDefault="002F489B" w:rsidP="00BA56B5">
      <w:pPr>
        <w:ind w:firstLine="720"/>
      </w:pPr>
      <w:r w:rsidRPr="00A76AC5">
        <w:t xml:space="preserve">Georgia Power Company </w:t>
      </w:r>
      <w:r w:rsidR="0093040A" w:rsidRPr="00A76AC5">
        <w:t>has</w:t>
      </w:r>
      <w:r w:rsidR="0093040A">
        <w:t xml:space="preserve"> not yet developed</w:t>
      </w:r>
      <w:r w:rsidR="00BA56B5">
        <w:t xml:space="preserve"> a methodology to calculate the expected starts based maintenance costs associated with significant penetrations of distributed solar.  Therefore, this section is </w:t>
      </w:r>
      <w:r w:rsidR="004822CB">
        <w:t>included</w:t>
      </w:r>
      <w:r w:rsidR="00BA56B5">
        <w:t xml:space="preserve"> as a placeholder for future updates to this analysis.</w:t>
      </w:r>
    </w:p>
    <w:p w14:paraId="10F82239" w14:textId="77777777" w:rsidR="007F67BC" w:rsidRPr="006C7551" w:rsidRDefault="007F67BC" w:rsidP="00A52E43">
      <w:pPr>
        <w:rPr>
          <w:b/>
        </w:rPr>
      </w:pPr>
    </w:p>
    <w:p w14:paraId="1A459B2F" w14:textId="4F844E03" w:rsidR="00A52E43" w:rsidRPr="006C7551" w:rsidRDefault="008E5F0B" w:rsidP="00A52E43">
      <w:pPr>
        <w:rPr>
          <w:b/>
        </w:rPr>
      </w:pPr>
      <w:r>
        <w:rPr>
          <w:b/>
        </w:rPr>
        <w:t xml:space="preserve">Target </w:t>
      </w:r>
      <w:r w:rsidR="00A52E43">
        <w:rPr>
          <w:b/>
        </w:rPr>
        <w:t>Reserve Margin</w:t>
      </w:r>
      <w:r w:rsidR="00A52E43" w:rsidRPr="006C7551">
        <w:rPr>
          <w:b/>
        </w:rPr>
        <w:t xml:space="preserve"> Costs</w:t>
      </w:r>
    </w:p>
    <w:p w14:paraId="7B5F0F92" w14:textId="0AED212F" w:rsidR="00BA56B5" w:rsidRPr="00320F16" w:rsidRDefault="002F489B" w:rsidP="00BA56B5">
      <w:pPr>
        <w:ind w:firstLine="720"/>
      </w:pPr>
      <w:r w:rsidRPr="00A76AC5">
        <w:t xml:space="preserve"> Georgia Power Company </w:t>
      </w:r>
      <w:r w:rsidR="0093040A" w:rsidRPr="00A76AC5">
        <w:t>has</w:t>
      </w:r>
      <w:r w:rsidR="0093040A">
        <w:t xml:space="preserve"> not yet completed</w:t>
      </w:r>
      <w:r w:rsidR="00BA56B5">
        <w:t xml:space="preserve"> studies to calculate the expected planning reserve margin costs associated with significant penetrations of distributed solar.  </w:t>
      </w:r>
      <w:r w:rsidR="004822CB">
        <w:t>The planning reserve margin</w:t>
      </w:r>
      <w:r w:rsidR="00BA56B5">
        <w:t xml:space="preserve"> studies are expected to be completed in 2015</w:t>
      </w:r>
      <w:r w:rsidR="004822CB">
        <w:t xml:space="preserve"> as part of the 2016 IRP process</w:t>
      </w:r>
      <w:r w:rsidR="00E93DAC">
        <w:t xml:space="preserve">.  </w:t>
      </w:r>
      <w:r w:rsidR="008E5F0B">
        <w:t xml:space="preserve">The results of the planning reserve margin study were not available in time for inclusion in this analysis.  </w:t>
      </w:r>
      <w:r w:rsidR="00BA56B5">
        <w:t xml:space="preserve">Therefore, this section is </w:t>
      </w:r>
      <w:r w:rsidR="004822CB">
        <w:t>included</w:t>
      </w:r>
      <w:r w:rsidR="00BA56B5">
        <w:t xml:space="preserve"> as a placeholder for future updates to this analysis.</w:t>
      </w:r>
    </w:p>
    <w:p w14:paraId="5F1774B4" w14:textId="277E076C" w:rsidR="008E5F0B" w:rsidRDefault="008E5F0B">
      <w:pPr>
        <w:rPr>
          <w:b/>
        </w:rPr>
      </w:pPr>
    </w:p>
    <w:p w14:paraId="21E4FCB4" w14:textId="4DC4C5FE" w:rsidR="00A52E43" w:rsidRPr="006C7551" w:rsidRDefault="008E5F0B" w:rsidP="00A52E43">
      <w:pPr>
        <w:rPr>
          <w:b/>
        </w:rPr>
      </w:pPr>
      <w:r>
        <w:rPr>
          <w:b/>
        </w:rPr>
        <w:t>Program and Administration</w:t>
      </w:r>
      <w:r w:rsidRPr="006C7551">
        <w:rPr>
          <w:b/>
        </w:rPr>
        <w:t xml:space="preserve"> </w:t>
      </w:r>
      <w:r w:rsidR="00A52E43" w:rsidRPr="006C7551">
        <w:rPr>
          <w:b/>
        </w:rPr>
        <w:t>Costs</w:t>
      </w:r>
    </w:p>
    <w:p w14:paraId="68BF3AAA" w14:textId="77777777" w:rsidR="003146EF" w:rsidRDefault="002F489B" w:rsidP="00AA695D">
      <w:pPr>
        <w:ind w:firstLine="720"/>
      </w:pPr>
      <w:r w:rsidRPr="00A76AC5">
        <w:t xml:space="preserve">Georgia Power Company </w:t>
      </w:r>
      <w:r w:rsidR="0093040A" w:rsidRPr="00A76AC5">
        <w:t>has</w:t>
      </w:r>
      <w:r w:rsidR="0093040A">
        <w:t xml:space="preserve"> not yet developed</w:t>
      </w:r>
      <w:r w:rsidR="00BA56B5">
        <w:t xml:space="preserve"> a methodology to calculate the expected administrative costs associated with significant penetrations of distributed solar.  Therefore, this section is </w:t>
      </w:r>
      <w:r w:rsidR="004822CB">
        <w:t>included</w:t>
      </w:r>
      <w:r w:rsidR="00BA56B5">
        <w:t xml:space="preserve"> as a placeholder for future updates to this analysis.</w:t>
      </w:r>
    </w:p>
    <w:p w14:paraId="0B3A6B38" w14:textId="77777777" w:rsidR="00C6403D" w:rsidRDefault="00C6403D" w:rsidP="00AA695D">
      <w:pPr>
        <w:ind w:firstLine="720"/>
      </w:pPr>
    </w:p>
    <w:p w14:paraId="5B30068E" w14:textId="77777777" w:rsidR="00730397" w:rsidRPr="002233FB" w:rsidRDefault="00730397" w:rsidP="00730397">
      <w:pPr>
        <w:spacing w:after="0" w:line="240" w:lineRule="auto"/>
        <w:rPr>
          <w:b/>
        </w:rPr>
      </w:pPr>
      <w:r>
        <w:rPr>
          <w:b/>
        </w:rPr>
        <w:t>Conclusions</w:t>
      </w:r>
    </w:p>
    <w:p w14:paraId="5C784CCD" w14:textId="77777777" w:rsidR="00730397" w:rsidRDefault="00730397" w:rsidP="00730397">
      <w:pPr>
        <w:pStyle w:val="ListParagraph"/>
        <w:ind w:left="0" w:firstLine="720"/>
      </w:pPr>
    </w:p>
    <w:p w14:paraId="0E273ECD" w14:textId="77777777" w:rsidR="00730397" w:rsidRDefault="00730397" w:rsidP="00730397">
      <w:pPr>
        <w:pStyle w:val="ListParagraph"/>
        <w:ind w:left="0" w:firstLine="720"/>
      </w:pPr>
      <w:r>
        <w:t>As stated in the Executive Summ</w:t>
      </w:r>
      <w:r w:rsidR="0091155F">
        <w:t>ary</w:t>
      </w:r>
      <w:r>
        <w:t xml:space="preserve">, the following conclusions can be drawn from these results: </w:t>
      </w:r>
    </w:p>
    <w:p w14:paraId="12A0E849" w14:textId="77777777" w:rsidR="00730397" w:rsidRDefault="00730397" w:rsidP="00730397">
      <w:pPr>
        <w:pStyle w:val="ListParagraph"/>
        <w:ind w:left="0" w:firstLine="720"/>
      </w:pPr>
    </w:p>
    <w:p w14:paraId="40291951" w14:textId="153E756D" w:rsidR="00FA66C4" w:rsidRDefault="00FA66C4" w:rsidP="00FA66C4">
      <w:pPr>
        <w:pStyle w:val="ListParagraph"/>
        <w:numPr>
          <w:ilvl w:val="0"/>
          <w:numId w:val="19"/>
        </w:numPr>
      </w:pPr>
      <w:r>
        <w:t>The total benefit provided by solar generation exceeds the total cost caused by solar generation; however, with increasing penetration levels the overall benefit to the system declines.</w:t>
      </w:r>
    </w:p>
    <w:p w14:paraId="03BD1843" w14:textId="77777777" w:rsidR="00FA66C4" w:rsidRDefault="00FA66C4" w:rsidP="00FA66C4">
      <w:pPr>
        <w:pStyle w:val="ListParagraph"/>
        <w:numPr>
          <w:ilvl w:val="0"/>
          <w:numId w:val="19"/>
        </w:numPr>
      </w:pPr>
      <w:r>
        <w:t xml:space="preserve">On average (after the 2000MW tranche and excluding the 8000MW tranche which represents a substantial cost breakpoint), the decline in the total avoided cost of solar amounts to roughly </w:t>
      </w:r>
      <w:r w:rsidRPr="001C0FD2">
        <w:rPr>
          <w:b/>
        </w:rPr>
        <w:t>REDACTED</w:t>
      </w:r>
      <w:r w:rsidRPr="001C0FD2">
        <w:t xml:space="preserve"> </w:t>
      </w:r>
      <w:r>
        <w:t xml:space="preserve">for each 1000 MW of solar installed on the system (i.e., each 1000 MW of distributed solar installed – up to 7000MW - is worth about </w:t>
      </w:r>
      <w:r w:rsidRPr="001C0FD2">
        <w:rPr>
          <w:b/>
        </w:rPr>
        <w:t>REDACTED</w:t>
      </w:r>
      <w:r>
        <w:t xml:space="preserve"> less than the previous 1000 MW installed).</w:t>
      </w:r>
    </w:p>
    <w:p w14:paraId="08588208" w14:textId="77777777" w:rsidR="00FA66C4" w:rsidRDefault="00FA66C4" w:rsidP="00FA66C4">
      <w:pPr>
        <w:pStyle w:val="ListParagraph"/>
        <w:numPr>
          <w:ilvl w:val="0"/>
          <w:numId w:val="19"/>
        </w:numPr>
      </w:pPr>
      <w:r>
        <w:lastRenderedPageBreak/>
        <w:t>Total avoided costs remain fairly stable up through 2000MW of distributed solar, after which the costs tend to decline steadily until the next big cost breakpoint at 7000MW of distributed solar – the point at which there is no longer a deferred generation capacity and deferred transmission investment benefit from distributed solar due to the time shift of the peak to dusk.</w:t>
      </w:r>
    </w:p>
    <w:p w14:paraId="46812F84" w14:textId="77777777" w:rsidR="00FA66C4" w:rsidRDefault="00FA66C4" w:rsidP="00FA66C4">
      <w:pPr>
        <w:pStyle w:val="ListParagraph"/>
        <w:numPr>
          <w:ilvl w:val="0"/>
          <w:numId w:val="19"/>
        </w:numPr>
      </w:pPr>
      <w:r>
        <w:t>Compared to the avoided energy benefits provided by distributed solar, the deferred transmission investment benefits are extremely small on a relative basis.</w:t>
      </w:r>
    </w:p>
    <w:p w14:paraId="6508C726" w14:textId="77777777" w:rsidR="00FA66C4" w:rsidRDefault="00FA66C4" w:rsidP="00FA66C4">
      <w:pPr>
        <w:pStyle w:val="ListParagraph"/>
        <w:numPr>
          <w:ilvl w:val="0"/>
          <w:numId w:val="19"/>
        </w:numPr>
      </w:pPr>
      <w:r>
        <w:t xml:space="preserve">Costs associated with Support Capacity and Generation Remix </w:t>
      </w:r>
      <w:proofErr w:type="gramStart"/>
      <w:r>
        <w:t>are</w:t>
      </w:r>
      <w:proofErr w:type="gramEnd"/>
      <w:r>
        <w:t xml:space="preserve"> immediately incurred with low penetrations of solar.</w:t>
      </w:r>
    </w:p>
    <w:p w14:paraId="1CCCE1BC" w14:textId="77777777" w:rsidR="00FA66C4" w:rsidRDefault="00FA66C4" w:rsidP="00FA66C4">
      <w:pPr>
        <w:pStyle w:val="ListParagraph"/>
        <w:numPr>
          <w:ilvl w:val="0"/>
          <w:numId w:val="19"/>
        </w:numPr>
      </w:pPr>
      <w:r>
        <w:t>Even with perfect knowledge and perfect confidence in the expected solar profile, the system reaches a point between 4000 and 5000 MW of distributed solar in which it can no longer recommit to avoid bottom out conditions; although the costs are estimated to be relatively low (as calculated here using avoided energy cost as a proxy for over generation costs), it can be assumed that this increase in bottom out conditions represents a significant increase in the operational challenges associated with solar generation.</w:t>
      </w:r>
    </w:p>
    <w:p w14:paraId="3505F231" w14:textId="77777777" w:rsidR="00FA66C4" w:rsidRDefault="00FA66C4" w:rsidP="00FA66C4">
      <w:pPr>
        <w:pStyle w:val="ListParagraph"/>
        <w:ind w:left="1080"/>
      </w:pPr>
    </w:p>
    <w:p w14:paraId="3BB6E192" w14:textId="4F7A3DEF" w:rsidR="00730397" w:rsidRPr="00AA695D" w:rsidRDefault="00C936AA" w:rsidP="00AA695D">
      <w:pPr>
        <w:ind w:firstLine="720"/>
      </w:pPr>
      <w:r>
        <w:t>Based on these conclusions, all new proposed solar resources should be evaluated in light of all previously committed solar projects so that the declining value of solar generation can be appropriately measured.  Based on today’s view of the future, it can also be concluded that due to the significant breakpoints in operational costs associated with solar and the potential for significant increases in operational problems at these levels, consideration of solar penetrations in the 4000-5000 MW range could create the need for mitigation measures.</w:t>
      </w:r>
      <w:r w:rsidR="00CF3D36" w:rsidRPr="00CF3D36">
        <w:t xml:space="preserve"> </w:t>
      </w:r>
      <w:r w:rsidR="001E1CA2">
        <w:t xml:space="preserve"> </w:t>
      </w:r>
      <w:r w:rsidR="00CF3D36">
        <w:t>Although this study was performed for distributed solar generation, the general conclusions are applicable to all solar generation added to the system, including utility scale solar generation.</w:t>
      </w:r>
    </w:p>
    <w:sectPr w:rsidR="00730397" w:rsidRPr="00AA69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6A32" w14:textId="77777777" w:rsidR="002C749C" w:rsidRDefault="002C749C" w:rsidP="00E43DDA">
      <w:pPr>
        <w:spacing w:after="0" w:line="240" w:lineRule="auto"/>
      </w:pPr>
      <w:r>
        <w:separator/>
      </w:r>
    </w:p>
  </w:endnote>
  <w:endnote w:type="continuationSeparator" w:id="0">
    <w:p w14:paraId="1E9FBAD6" w14:textId="77777777" w:rsidR="002C749C" w:rsidRDefault="002C749C" w:rsidP="00E4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E1B3" w14:textId="77777777" w:rsidR="00325A46" w:rsidRDefault="00325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05804"/>
      <w:docPartObj>
        <w:docPartGallery w:val="Page Numbers (Bottom of Page)"/>
        <w:docPartUnique/>
      </w:docPartObj>
    </w:sdtPr>
    <w:sdtEndPr>
      <w:rPr>
        <w:noProof/>
      </w:rPr>
    </w:sdtEndPr>
    <w:sdtContent>
      <w:p w14:paraId="092CAA9D" w14:textId="77777777" w:rsidR="002C749C" w:rsidRDefault="002C749C">
        <w:pPr>
          <w:pStyle w:val="Footer"/>
          <w:jc w:val="right"/>
        </w:pPr>
        <w:r>
          <w:fldChar w:fldCharType="begin"/>
        </w:r>
        <w:r>
          <w:instrText xml:space="preserve"> PAGE   \* MERGEFORMAT </w:instrText>
        </w:r>
        <w:r>
          <w:fldChar w:fldCharType="separate"/>
        </w:r>
        <w:r w:rsidR="00325A46">
          <w:rPr>
            <w:noProof/>
          </w:rPr>
          <w:t>1</w:t>
        </w:r>
        <w:r>
          <w:rPr>
            <w:noProof/>
          </w:rPr>
          <w:fldChar w:fldCharType="end"/>
        </w:r>
      </w:p>
    </w:sdtContent>
  </w:sdt>
  <w:p w14:paraId="119A0CD9" w14:textId="77777777" w:rsidR="002C749C" w:rsidRDefault="002C7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E6F7" w14:textId="77777777" w:rsidR="00325A46" w:rsidRDefault="00325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A311" w14:textId="77777777" w:rsidR="002C749C" w:rsidRDefault="002C749C" w:rsidP="00E43DDA">
      <w:pPr>
        <w:spacing w:after="0" w:line="240" w:lineRule="auto"/>
      </w:pPr>
      <w:r>
        <w:separator/>
      </w:r>
    </w:p>
  </w:footnote>
  <w:footnote w:type="continuationSeparator" w:id="0">
    <w:p w14:paraId="33DBB2E5" w14:textId="77777777" w:rsidR="002C749C" w:rsidRDefault="002C749C" w:rsidP="00E43DDA">
      <w:pPr>
        <w:spacing w:after="0" w:line="240" w:lineRule="auto"/>
      </w:pPr>
      <w:r>
        <w:continuationSeparator/>
      </w:r>
    </w:p>
  </w:footnote>
  <w:footnote w:id="1">
    <w:p w14:paraId="0E6ACE5D" w14:textId="5D480F7D" w:rsidR="002C749C" w:rsidRDefault="002C749C">
      <w:pPr>
        <w:pStyle w:val="FootnoteText"/>
      </w:pPr>
      <w:r>
        <w:rPr>
          <w:rStyle w:val="FootnoteReference"/>
        </w:rPr>
        <w:footnoteRef/>
      </w:r>
      <w:r>
        <w:t xml:space="preserve"> In this case, the existing planning case is the latest base case including all existing solar and wind commitments but not including those solar resources recommended as part of the 2016 Integrated Resource Plan. </w:t>
      </w:r>
    </w:p>
  </w:footnote>
  <w:footnote w:id="2">
    <w:p w14:paraId="327B9117" w14:textId="716ACEA0" w:rsidR="002C749C" w:rsidRDefault="002C749C">
      <w:pPr>
        <w:pStyle w:val="FootnoteText"/>
      </w:pPr>
      <w:r>
        <w:rPr>
          <w:rStyle w:val="FootnoteReference"/>
        </w:rPr>
        <w:footnoteRef/>
      </w:r>
      <w:r>
        <w:t xml:space="preserve"> As defined in the Framework document.</w:t>
      </w:r>
    </w:p>
  </w:footnote>
  <w:footnote w:id="3">
    <w:p w14:paraId="4979E7E3" w14:textId="5A1991CC" w:rsidR="002C749C" w:rsidRDefault="002C749C">
      <w:pPr>
        <w:pStyle w:val="FootnoteText"/>
      </w:pPr>
      <w:r>
        <w:rPr>
          <w:rStyle w:val="FootnoteReference"/>
        </w:rPr>
        <w:footnoteRef/>
      </w:r>
      <w:r>
        <w:t xml:space="preserve"> </w:t>
      </w:r>
      <w:r w:rsidRPr="00226B44">
        <w:t>All values are in $/MWH of solar generation.  Positive values represent benefits.  Negative (red) values represent costs.  Areas that are shaded are components that, while appropriately factored into an assessment of the costs and benefits of solar, were not calculated in this iteration of the cost-benefit analysis</w:t>
      </w:r>
      <w:r>
        <w:t xml:space="preserve"> because the methodology is still under development</w:t>
      </w:r>
      <w:r w:rsidRPr="00226B44">
        <w:t xml:space="preserve">.  These results show relative impacts of various levels of sustained distributed solar generation and are for comparison purposes only.  They are not indicative of any specific value of distributed solar generation in any particular year, and should not be used to price any particular distributed solar program.  Should there be a need to develop such pricing </w:t>
      </w:r>
      <w:proofErr w:type="gramStart"/>
      <w:r w:rsidRPr="00226B44">
        <w:t>mechanisms</w:t>
      </w:r>
      <w:r>
        <w:t>,</w:t>
      </w:r>
      <w:proofErr w:type="gramEnd"/>
      <w:r w:rsidRPr="00226B44">
        <w:t xml:space="preserve"> an analysis should be performed using consistent Framework methodologies</w:t>
      </w:r>
      <w:r>
        <w:t xml:space="preserve"> and </w:t>
      </w:r>
      <w:r w:rsidRPr="00226B44">
        <w:t>project-specific details and assumptions.</w:t>
      </w:r>
    </w:p>
  </w:footnote>
  <w:footnote w:id="4">
    <w:p w14:paraId="64C1C2B5" w14:textId="77777777" w:rsidR="002C749C" w:rsidRDefault="002C749C">
      <w:pPr>
        <w:pStyle w:val="FootnoteText"/>
      </w:pPr>
      <w:r>
        <w:rPr>
          <w:rStyle w:val="FootnoteReference"/>
        </w:rPr>
        <w:footnoteRef/>
      </w:r>
      <w:r>
        <w:t xml:space="preserve"> A levelized value is a single value that can be applied annually much like an annuity or mortgage payment.  These levelized values were calculated by determining the annual annuity value that produces the same Net Present Value as the nominal stream of costs and benefits considered in the analysis.</w:t>
      </w:r>
    </w:p>
  </w:footnote>
  <w:footnote w:id="5">
    <w:p w14:paraId="5297CABD" w14:textId="77777777" w:rsidR="002C749C" w:rsidRDefault="002C749C">
      <w:pPr>
        <w:pStyle w:val="FootnoteText"/>
      </w:pPr>
      <w:r>
        <w:rPr>
          <w:rStyle w:val="FootnoteReference"/>
        </w:rPr>
        <w:footnoteRef/>
      </w:r>
      <w:r>
        <w:t xml:space="preserve"> </w:t>
      </w:r>
      <w:r w:rsidRPr="00A83930">
        <w:t>http://maps.nrel.gov/prospector</w:t>
      </w:r>
    </w:p>
  </w:footnote>
  <w:footnote w:id="6">
    <w:p w14:paraId="2449885B" w14:textId="77777777" w:rsidR="002C749C" w:rsidRDefault="002C749C">
      <w:pPr>
        <w:pStyle w:val="FootnoteText"/>
      </w:pPr>
      <w:r>
        <w:rPr>
          <w:rStyle w:val="FootnoteReference"/>
        </w:rPr>
        <w:footnoteRef/>
      </w:r>
      <w:r>
        <w:t xml:space="preserve"> The energy component of deferred transmission losses is included as part of these avoided energy costs.</w:t>
      </w:r>
    </w:p>
  </w:footnote>
  <w:footnote w:id="7">
    <w:p w14:paraId="3400E0C7" w14:textId="5301141D" w:rsidR="002C749C" w:rsidRDefault="002C749C">
      <w:pPr>
        <w:pStyle w:val="FootnoteText"/>
      </w:pPr>
      <w:r>
        <w:rPr>
          <w:rStyle w:val="FootnoteReference"/>
        </w:rPr>
        <w:footnoteRef/>
      </w:r>
      <w:r>
        <w:t xml:space="preserve"> </w:t>
      </w:r>
      <w:proofErr w:type="gramStart"/>
      <w:r>
        <w:t>Across the entire Southern Company electric system.</w:t>
      </w:r>
      <w:proofErr w:type="gramEnd"/>
    </w:p>
  </w:footnote>
  <w:footnote w:id="8">
    <w:p w14:paraId="20BC0457" w14:textId="34AD550A" w:rsidR="002C749C" w:rsidRDefault="002C749C">
      <w:pPr>
        <w:pStyle w:val="FootnoteText"/>
      </w:pPr>
      <w:r>
        <w:rPr>
          <w:rStyle w:val="FootnoteReference"/>
        </w:rPr>
        <w:footnoteRef/>
      </w:r>
      <w:r>
        <w:t xml:space="preserve"> Determined as the sum of the capital costs of all the projects identified in the study (in 2015$) divided by the assumed long-term load growth of 10,000MW.</w:t>
      </w:r>
    </w:p>
  </w:footnote>
  <w:footnote w:id="9">
    <w:p w14:paraId="67FF5379" w14:textId="77777777" w:rsidR="002C749C" w:rsidRDefault="002C749C">
      <w:pPr>
        <w:pStyle w:val="FootnoteText"/>
      </w:pPr>
      <w:r>
        <w:rPr>
          <w:rStyle w:val="FootnoteReference"/>
        </w:rPr>
        <w:footnoteRef/>
      </w:r>
      <w:r>
        <w:t xml:space="preserve"> Determined as the average expected output of the distributed solar during hours 15 and 16 (3-4PM) in the months of June-August.</w:t>
      </w:r>
    </w:p>
  </w:footnote>
  <w:footnote w:id="10">
    <w:p w14:paraId="493228F1" w14:textId="77777777" w:rsidR="002C749C" w:rsidRDefault="002C749C">
      <w:pPr>
        <w:pStyle w:val="FootnoteText"/>
      </w:pPr>
      <w:r>
        <w:rPr>
          <w:rStyle w:val="FootnoteReference"/>
        </w:rPr>
        <w:footnoteRef/>
      </w:r>
      <w:r>
        <w:t xml:space="preserve"> The demand component of deferred transmission losses is included as part of this deferred transmission cost.</w:t>
      </w:r>
    </w:p>
  </w:footnote>
  <w:footnote w:id="11">
    <w:p w14:paraId="2459732E" w14:textId="77777777" w:rsidR="002C749C" w:rsidRDefault="002C749C">
      <w:pPr>
        <w:pStyle w:val="FootnoteText"/>
      </w:pPr>
      <w:r>
        <w:rPr>
          <w:rStyle w:val="FootnoteReference"/>
        </w:rPr>
        <w:footnoteRef/>
      </w:r>
      <w:r>
        <w:t xml:space="preserve"> This distribution loss profile included impacts of transmission substation losses, </w:t>
      </w:r>
      <w:proofErr w:type="spellStart"/>
      <w:r>
        <w:t>subtransmission</w:t>
      </w:r>
      <w:proofErr w:type="spellEnd"/>
      <w:r>
        <w:t xml:space="preserve"> substation and line losses, distribution substation losses, and distribution line losses.</w:t>
      </w:r>
    </w:p>
  </w:footnote>
  <w:footnote w:id="12">
    <w:p w14:paraId="16A46615" w14:textId="77777777" w:rsidR="002C749C" w:rsidRDefault="002C749C">
      <w:pPr>
        <w:pStyle w:val="FootnoteText"/>
      </w:pPr>
      <w:r>
        <w:rPr>
          <w:rStyle w:val="FootnoteReference"/>
        </w:rPr>
        <w:footnoteRef/>
      </w:r>
      <w:r>
        <w:t xml:space="preserve"> Choosing the 90</w:t>
      </w:r>
      <w:r w:rsidRPr="00E93DAC">
        <w:rPr>
          <w:vertAlign w:val="superscript"/>
        </w:rPr>
        <w:t>th</w:t>
      </w:r>
      <w:r>
        <w:t xml:space="preserve"> percentile would create risk that the Balancing Authority could not meet the requirements in the standard and choosing the 100</w:t>
      </w:r>
      <w:r w:rsidRPr="00E93DAC">
        <w:rPr>
          <w:vertAlign w:val="superscript"/>
        </w:rPr>
        <w:t>th</w:t>
      </w:r>
      <w:r>
        <w:t xml:space="preserve"> percentile would have been overly conservative, resulting in greater than necessary cost impacts.</w:t>
      </w:r>
    </w:p>
  </w:footnote>
  <w:footnote w:id="13">
    <w:p w14:paraId="3BECFA36" w14:textId="77777777" w:rsidR="002C749C" w:rsidRDefault="002C749C">
      <w:pPr>
        <w:pStyle w:val="FootnoteText"/>
      </w:pPr>
      <w:r>
        <w:rPr>
          <w:rStyle w:val="FootnoteReference"/>
        </w:rPr>
        <w:footnoteRef/>
      </w:r>
      <w:r>
        <w:t xml:space="preserve"> A “persistent forecast” is one in which the current hour’s actual output is used as a basis for determining the forecast for the next hour.  Since solar forecast data was not available, a “persistent forecast” was developed from the historical output.  This manufactured forecast served as the basis for determining the forecast error.</w:t>
      </w:r>
    </w:p>
  </w:footnote>
  <w:footnote w:id="14">
    <w:p w14:paraId="0D47C781" w14:textId="4417C2A9" w:rsidR="002C749C" w:rsidRDefault="002C749C">
      <w:pPr>
        <w:pStyle w:val="FootnoteText"/>
      </w:pPr>
      <w:r>
        <w:rPr>
          <w:rStyle w:val="FootnoteReference"/>
        </w:rPr>
        <w:footnoteRef/>
      </w:r>
      <w:r>
        <w:t xml:space="preserve"> The latest version of the Loss of Load Probability table is from the B2012 Reserve Margin Study that was performed in support of the 2013 IRP.  The reserve margin study is being updated in 2015 for the 2016 IRP but was unavailable at the time this study was performed.</w:t>
      </w:r>
    </w:p>
  </w:footnote>
  <w:footnote w:id="15">
    <w:p w14:paraId="0C1BF6F2" w14:textId="4FB38A34" w:rsidR="002C749C" w:rsidRDefault="002C749C">
      <w:pPr>
        <w:pStyle w:val="FootnoteText"/>
      </w:pPr>
      <w:r>
        <w:rPr>
          <w:rStyle w:val="FootnoteReference"/>
        </w:rPr>
        <w:footnoteRef/>
      </w:r>
      <w:r>
        <w:t xml:space="preserve"> Section 4 of the Framework document describes the methodology for calculating the various components.  For the Bottom Out component, the methodology requires a comparison of DUMP ENERGY from the Base Case to the renewable case.  However, if the DUMP ENERGY of the renewable case is too large, PROSYM modelers may be required to perform a partial manual re-commitment of the system before finalizing the renewable case.  The cost associated with the intermediate step must be determined to fully capture the Bottom Out costs.  This intermediate step was not deemed necessary for this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6906" w14:textId="77777777" w:rsidR="00325A46" w:rsidRDefault="00325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EDAC" w14:textId="6D5115B4" w:rsidR="002C749C" w:rsidRPr="00AE5668" w:rsidRDefault="002C749C" w:rsidP="0074393C">
    <w:pPr>
      <w:pStyle w:val="Header"/>
      <w:jc w:val="right"/>
      <w:rPr>
        <w:b/>
        <w:sz w:val="28"/>
        <w:szCs w:val="28"/>
      </w:rPr>
    </w:pPr>
    <w:r w:rsidRPr="00AE5668">
      <w:rPr>
        <w:b/>
        <w:sz w:val="28"/>
        <w:szCs w:val="28"/>
      </w:rPr>
      <w:t>PUBLIC DISCLOSURE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7228" w14:textId="77777777" w:rsidR="00325A46" w:rsidRDefault="00325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DAC"/>
    <w:multiLevelType w:val="hybridMultilevel"/>
    <w:tmpl w:val="96D61C7A"/>
    <w:lvl w:ilvl="0" w:tplc="E0244562">
      <w:start w:val="1"/>
      <w:numFmt w:val="bullet"/>
      <w:lvlText w:val="•"/>
      <w:lvlJc w:val="left"/>
      <w:pPr>
        <w:tabs>
          <w:tab w:val="num" w:pos="720"/>
        </w:tabs>
        <w:ind w:left="720" w:hanging="360"/>
      </w:pPr>
      <w:rPr>
        <w:rFonts w:ascii="Arial" w:hAnsi="Arial" w:hint="default"/>
      </w:rPr>
    </w:lvl>
    <w:lvl w:ilvl="1" w:tplc="5694E158">
      <w:start w:val="1206"/>
      <w:numFmt w:val="bullet"/>
      <w:lvlText w:val="–"/>
      <w:lvlJc w:val="left"/>
      <w:pPr>
        <w:tabs>
          <w:tab w:val="num" w:pos="1440"/>
        </w:tabs>
        <w:ind w:left="1440" w:hanging="360"/>
      </w:pPr>
      <w:rPr>
        <w:rFonts w:ascii="Arial" w:hAnsi="Arial" w:hint="default"/>
      </w:rPr>
    </w:lvl>
    <w:lvl w:ilvl="2" w:tplc="AAE0FA4E" w:tentative="1">
      <w:start w:val="1"/>
      <w:numFmt w:val="bullet"/>
      <w:lvlText w:val="•"/>
      <w:lvlJc w:val="left"/>
      <w:pPr>
        <w:tabs>
          <w:tab w:val="num" w:pos="2160"/>
        </w:tabs>
        <w:ind w:left="2160" w:hanging="360"/>
      </w:pPr>
      <w:rPr>
        <w:rFonts w:ascii="Arial" w:hAnsi="Arial" w:hint="default"/>
      </w:rPr>
    </w:lvl>
    <w:lvl w:ilvl="3" w:tplc="463CE300" w:tentative="1">
      <w:start w:val="1"/>
      <w:numFmt w:val="bullet"/>
      <w:lvlText w:val="•"/>
      <w:lvlJc w:val="left"/>
      <w:pPr>
        <w:tabs>
          <w:tab w:val="num" w:pos="2880"/>
        </w:tabs>
        <w:ind w:left="2880" w:hanging="360"/>
      </w:pPr>
      <w:rPr>
        <w:rFonts w:ascii="Arial" w:hAnsi="Arial" w:hint="default"/>
      </w:rPr>
    </w:lvl>
    <w:lvl w:ilvl="4" w:tplc="09CC4B3E" w:tentative="1">
      <w:start w:val="1"/>
      <w:numFmt w:val="bullet"/>
      <w:lvlText w:val="•"/>
      <w:lvlJc w:val="left"/>
      <w:pPr>
        <w:tabs>
          <w:tab w:val="num" w:pos="3600"/>
        </w:tabs>
        <w:ind w:left="3600" w:hanging="360"/>
      </w:pPr>
      <w:rPr>
        <w:rFonts w:ascii="Arial" w:hAnsi="Arial" w:hint="default"/>
      </w:rPr>
    </w:lvl>
    <w:lvl w:ilvl="5" w:tplc="0554A882" w:tentative="1">
      <w:start w:val="1"/>
      <w:numFmt w:val="bullet"/>
      <w:lvlText w:val="•"/>
      <w:lvlJc w:val="left"/>
      <w:pPr>
        <w:tabs>
          <w:tab w:val="num" w:pos="4320"/>
        </w:tabs>
        <w:ind w:left="4320" w:hanging="360"/>
      </w:pPr>
      <w:rPr>
        <w:rFonts w:ascii="Arial" w:hAnsi="Arial" w:hint="default"/>
      </w:rPr>
    </w:lvl>
    <w:lvl w:ilvl="6" w:tplc="1284C6E2" w:tentative="1">
      <w:start w:val="1"/>
      <w:numFmt w:val="bullet"/>
      <w:lvlText w:val="•"/>
      <w:lvlJc w:val="left"/>
      <w:pPr>
        <w:tabs>
          <w:tab w:val="num" w:pos="5040"/>
        </w:tabs>
        <w:ind w:left="5040" w:hanging="360"/>
      </w:pPr>
      <w:rPr>
        <w:rFonts w:ascii="Arial" w:hAnsi="Arial" w:hint="default"/>
      </w:rPr>
    </w:lvl>
    <w:lvl w:ilvl="7" w:tplc="5E66DB94" w:tentative="1">
      <w:start w:val="1"/>
      <w:numFmt w:val="bullet"/>
      <w:lvlText w:val="•"/>
      <w:lvlJc w:val="left"/>
      <w:pPr>
        <w:tabs>
          <w:tab w:val="num" w:pos="5760"/>
        </w:tabs>
        <w:ind w:left="5760" w:hanging="360"/>
      </w:pPr>
      <w:rPr>
        <w:rFonts w:ascii="Arial" w:hAnsi="Arial" w:hint="default"/>
      </w:rPr>
    </w:lvl>
    <w:lvl w:ilvl="8" w:tplc="72D00B0E" w:tentative="1">
      <w:start w:val="1"/>
      <w:numFmt w:val="bullet"/>
      <w:lvlText w:val="•"/>
      <w:lvlJc w:val="left"/>
      <w:pPr>
        <w:tabs>
          <w:tab w:val="num" w:pos="6480"/>
        </w:tabs>
        <w:ind w:left="6480" w:hanging="360"/>
      </w:pPr>
      <w:rPr>
        <w:rFonts w:ascii="Arial" w:hAnsi="Arial" w:hint="default"/>
      </w:rPr>
    </w:lvl>
  </w:abstractNum>
  <w:abstractNum w:abstractNumId="1">
    <w:nsid w:val="03DC444E"/>
    <w:multiLevelType w:val="hybridMultilevel"/>
    <w:tmpl w:val="67AA6710"/>
    <w:lvl w:ilvl="0" w:tplc="E53839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F3E1A"/>
    <w:multiLevelType w:val="hybridMultilevel"/>
    <w:tmpl w:val="3C34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D4AF1"/>
    <w:multiLevelType w:val="hybridMultilevel"/>
    <w:tmpl w:val="65B2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1587"/>
    <w:multiLevelType w:val="hybridMultilevel"/>
    <w:tmpl w:val="3F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330AF"/>
    <w:multiLevelType w:val="hybridMultilevel"/>
    <w:tmpl w:val="EC54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7509D"/>
    <w:multiLevelType w:val="hybridMultilevel"/>
    <w:tmpl w:val="DEAAA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57647"/>
    <w:multiLevelType w:val="hybridMultilevel"/>
    <w:tmpl w:val="FFA61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24542B"/>
    <w:multiLevelType w:val="hybridMultilevel"/>
    <w:tmpl w:val="0D9EAC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67AF3"/>
    <w:multiLevelType w:val="hybridMultilevel"/>
    <w:tmpl w:val="FFA61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A00B08"/>
    <w:multiLevelType w:val="hybridMultilevel"/>
    <w:tmpl w:val="E0107CD2"/>
    <w:lvl w:ilvl="0" w:tplc="1E24B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C50F67"/>
    <w:multiLevelType w:val="hybridMultilevel"/>
    <w:tmpl w:val="382C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35EFE"/>
    <w:multiLevelType w:val="hybridMultilevel"/>
    <w:tmpl w:val="F15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54625"/>
    <w:multiLevelType w:val="hybridMultilevel"/>
    <w:tmpl w:val="84A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43537"/>
    <w:multiLevelType w:val="hybridMultilevel"/>
    <w:tmpl w:val="5B146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CD0EFF"/>
    <w:multiLevelType w:val="hybridMultilevel"/>
    <w:tmpl w:val="AC607AD0"/>
    <w:lvl w:ilvl="0" w:tplc="49E446C0">
      <w:start w:val="1"/>
      <w:numFmt w:val="bullet"/>
      <w:lvlText w:val="•"/>
      <w:lvlJc w:val="left"/>
      <w:pPr>
        <w:tabs>
          <w:tab w:val="num" w:pos="720"/>
        </w:tabs>
        <w:ind w:left="720" w:hanging="360"/>
      </w:pPr>
      <w:rPr>
        <w:rFonts w:ascii="Arial" w:hAnsi="Arial" w:hint="default"/>
      </w:rPr>
    </w:lvl>
    <w:lvl w:ilvl="1" w:tplc="C1D21806">
      <w:start w:val="834"/>
      <w:numFmt w:val="bullet"/>
      <w:lvlText w:val="–"/>
      <w:lvlJc w:val="left"/>
      <w:pPr>
        <w:tabs>
          <w:tab w:val="num" w:pos="1440"/>
        </w:tabs>
        <w:ind w:left="1440" w:hanging="360"/>
      </w:pPr>
      <w:rPr>
        <w:rFonts w:ascii="Arial" w:hAnsi="Arial" w:hint="default"/>
      </w:rPr>
    </w:lvl>
    <w:lvl w:ilvl="2" w:tplc="1BC01EA0">
      <w:start w:val="834"/>
      <w:numFmt w:val="bullet"/>
      <w:lvlText w:val="•"/>
      <w:lvlJc w:val="left"/>
      <w:pPr>
        <w:tabs>
          <w:tab w:val="num" w:pos="2160"/>
        </w:tabs>
        <w:ind w:left="2160" w:hanging="360"/>
      </w:pPr>
      <w:rPr>
        <w:rFonts w:ascii="Arial" w:hAnsi="Arial" w:hint="default"/>
      </w:rPr>
    </w:lvl>
    <w:lvl w:ilvl="3" w:tplc="55609DFE" w:tentative="1">
      <w:start w:val="1"/>
      <w:numFmt w:val="bullet"/>
      <w:lvlText w:val="•"/>
      <w:lvlJc w:val="left"/>
      <w:pPr>
        <w:tabs>
          <w:tab w:val="num" w:pos="2880"/>
        </w:tabs>
        <w:ind w:left="2880" w:hanging="360"/>
      </w:pPr>
      <w:rPr>
        <w:rFonts w:ascii="Arial" w:hAnsi="Arial" w:hint="default"/>
      </w:rPr>
    </w:lvl>
    <w:lvl w:ilvl="4" w:tplc="8F3C83F0" w:tentative="1">
      <w:start w:val="1"/>
      <w:numFmt w:val="bullet"/>
      <w:lvlText w:val="•"/>
      <w:lvlJc w:val="left"/>
      <w:pPr>
        <w:tabs>
          <w:tab w:val="num" w:pos="3600"/>
        </w:tabs>
        <w:ind w:left="3600" w:hanging="360"/>
      </w:pPr>
      <w:rPr>
        <w:rFonts w:ascii="Arial" w:hAnsi="Arial" w:hint="default"/>
      </w:rPr>
    </w:lvl>
    <w:lvl w:ilvl="5" w:tplc="22F8CBD0" w:tentative="1">
      <w:start w:val="1"/>
      <w:numFmt w:val="bullet"/>
      <w:lvlText w:val="•"/>
      <w:lvlJc w:val="left"/>
      <w:pPr>
        <w:tabs>
          <w:tab w:val="num" w:pos="4320"/>
        </w:tabs>
        <w:ind w:left="4320" w:hanging="360"/>
      </w:pPr>
      <w:rPr>
        <w:rFonts w:ascii="Arial" w:hAnsi="Arial" w:hint="default"/>
      </w:rPr>
    </w:lvl>
    <w:lvl w:ilvl="6" w:tplc="9DA6707A" w:tentative="1">
      <w:start w:val="1"/>
      <w:numFmt w:val="bullet"/>
      <w:lvlText w:val="•"/>
      <w:lvlJc w:val="left"/>
      <w:pPr>
        <w:tabs>
          <w:tab w:val="num" w:pos="5040"/>
        </w:tabs>
        <w:ind w:left="5040" w:hanging="360"/>
      </w:pPr>
      <w:rPr>
        <w:rFonts w:ascii="Arial" w:hAnsi="Arial" w:hint="default"/>
      </w:rPr>
    </w:lvl>
    <w:lvl w:ilvl="7" w:tplc="6D06E926" w:tentative="1">
      <w:start w:val="1"/>
      <w:numFmt w:val="bullet"/>
      <w:lvlText w:val="•"/>
      <w:lvlJc w:val="left"/>
      <w:pPr>
        <w:tabs>
          <w:tab w:val="num" w:pos="5760"/>
        </w:tabs>
        <w:ind w:left="5760" w:hanging="360"/>
      </w:pPr>
      <w:rPr>
        <w:rFonts w:ascii="Arial" w:hAnsi="Arial" w:hint="default"/>
      </w:rPr>
    </w:lvl>
    <w:lvl w:ilvl="8" w:tplc="F04AE604" w:tentative="1">
      <w:start w:val="1"/>
      <w:numFmt w:val="bullet"/>
      <w:lvlText w:val="•"/>
      <w:lvlJc w:val="left"/>
      <w:pPr>
        <w:tabs>
          <w:tab w:val="num" w:pos="6480"/>
        </w:tabs>
        <w:ind w:left="6480" w:hanging="360"/>
      </w:pPr>
      <w:rPr>
        <w:rFonts w:ascii="Arial" w:hAnsi="Arial" w:hint="default"/>
      </w:rPr>
    </w:lvl>
  </w:abstractNum>
  <w:abstractNum w:abstractNumId="16">
    <w:nsid w:val="706B0488"/>
    <w:multiLevelType w:val="hybridMultilevel"/>
    <w:tmpl w:val="5B146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202FB1"/>
    <w:multiLevelType w:val="hybridMultilevel"/>
    <w:tmpl w:val="CBD0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9D55B0"/>
    <w:multiLevelType w:val="hybridMultilevel"/>
    <w:tmpl w:val="99225420"/>
    <w:lvl w:ilvl="0" w:tplc="0EA6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870EB"/>
    <w:multiLevelType w:val="hybridMultilevel"/>
    <w:tmpl w:val="44282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0"/>
  </w:num>
  <w:num w:numId="4">
    <w:abstractNumId w:val="5"/>
  </w:num>
  <w:num w:numId="5">
    <w:abstractNumId w:val="12"/>
  </w:num>
  <w:num w:numId="6">
    <w:abstractNumId w:val="4"/>
  </w:num>
  <w:num w:numId="7">
    <w:abstractNumId w:val="2"/>
  </w:num>
  <w:num w:numId="8">
    <w:abstractNumId w:val="14"/>
  </w:num>
  <w:num w:numId="9">
    <w:abstractNumId w:val="11"/>
  </w:num>
  <w:num w:numId="10">
    <w:abstractNumId w:val="16"/>
  </w:num>
  <w:num w:numId="11">
    <w:abstractNumId w:val="10"/>
  </w:num>
  <w:num w:numId="12">
    <w:abstractNumId w:val="18"/>
  </w:num>
  <w:num w:numId="13">
    <w:abstractNumId w:val="8"/>
  </w:num>
  <w:num w:numId="14">
    <w:abstractNumId w:val="17"/>
  </w:num>
  <w:num w:numId="15">
    <w:abstractNumId w:val="3"/>
  </w:num>
  <w:num w:numId="16">
    <w:abstractNumId w:val="6"/>
  </w:num>
  <w:num w:numId="17">
    <w:abstractNumId w:val="1"/>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DA"/>
    <w:rsid w:val="00000D78"/>
    <w:rsid w:val="000018CD"/>
    <w:rsid w:val="00002AA4"/>
    <w:rsid w:val="00003E55"/>
    <w:rsid w:val="00007339"/>
    <w:rsid w:val="00017ACC"/>
    <w:rsid w:val="00020D67"/>
    <w:rsid w:val="00023055"/>
    <w:rsid w:val="00030206"/>
    <w:rsid w:val="00037319"/>
    <w:rsid w:val="00037FC5"/>
    <w:rsid w:val="0004165E"/>
    <w:rsid w:val="000427AA"/>
    <w:rsid w:val="00044159"/>
    <w:rsid w:val="000470E4"/>
    <w:rsid w:val="00050FE7"/>
    <w:rsid w:val="000535B2"/>
    <w:rsid w:val="000551CC"/>
    <w:rsid w:val="00057502"/>
    <w:rsid w:val="000618EF"/>
    <w:rsid w:val="000643EF"/>
    <w:rsid w:val="00064A51"/>
    <w:rsid w:val="00065FD0"/>
    <w:rsid w:val="00071A53"/>
    <w:rsid w:val="0007738E"/>
    <w:rsid w:val="00077957"/>
    <w:rsid w:val="00081B56"/>
    <w:rsid w:val="00082939"/>
    <w:rsid w:val="00083611"/>
    <w:rsid w:val="0008471E"/>
    <w:rsid w:val="00095F47"/>
    <w:rsid w:val="00096F3E"/>
    <w:rsid w:val="000A1570"/>
    <w:rsid w:val="000A1CA0"/>
    <w:rsid w:val="000A22E1"/>
    <w:rsid w:val="000A2A92"/>
    <w:rsid w:val="000A310F"/>
    <w:rsid w:val="000B0921"/>
    <w:rsid w:val="000B10C7"/>
    <w:rsid w:val="000B2A34"/>
    <w:rsid w:val="000C5056"/>
    <w:rsid w:val="000D49E5"/>
    <w:rsid w:val="000D796C"/>
    <w:rsid w:val="000F2805"/>
    <w:rsid w:val="000F565A"/>
    <w:rsid w:val="000F5979"/>
    <w:rsid w:val="0010393C"/>
    <w:rsid w:val="00103E7B"/>
    <w:rsid w:val="00107DC1"/>
    <w:rsid w:val="001113B6"/>
    <w:rsid w:val="00112A53"/>
    <w:rsid w:val="00115D11"/>
    <w:rsid w:val="0012201B"/>
    <w:rsid w:val="001228B0"/>
    <w:rsid w:val="00125095"/>
    <w:rsid w:val="00126E42"/>
    <w:rsid w:val="00130277"/>
    <w:rsid w:val="00134C91"/>
    <w:rsid w:val="001401AF"/>
    <w:rsid w:val="0014291C"/>
    <w:rsid w:val="001458BD"/>
    <w:rsid w:val="00146B20"/>
    <w:rsid w:val="00150792"/>
    <w:rsid w:val="00153939"/>
    <w:rsid w:val="0016169F"/>
    <w:rsid w:val="00161E89"/>
    <w:rsid w:val="00166901"/>
    <w:rsid w:val="00175D5A"/>
    <w:rsid w:val="00176E1D"/>
    <w:rsid w:val="001808FB"/>
    <w:rsid w:val="00182A2E"/>
    <w:rsid w:val="0018331D"/>
    <w:rsid w:val="0018481C"/>
    <w:rsid w:val="00187698"/>
    <w:rsid w:val="001929D4"/>
    <w:rsid w:val="00192B8C"/>
    <w:rsid w:val="00193E93"/>
    <w:rsid w:val="001943C7"/>
    <w:rsid w:val="001A2B7D"/>
    <w:rsid w:val="001A404F"/>
    <w:rsid w:val="001A6422"/>
    <w:rsid w:val="001A735A"/>
    <w:rsid w:val="001A7B39"/>
    <w:rsid w:val="001A7FA8"/>
    <w:rsid w:val="001B2A56"/>
    <w:rsid w:val="001B2E5C"/>
    <w:rsid w:val="001B4029"/>
    <w:rsid w:val="001B7A30"/>
    <w:rsid w:val="001B7B57"/>
    <w:rsid w:val="001C0FD2"/>
    <w:rsid w:val="001C23CA"/>
    <w:rsid w:val="001C43AC"/>
    <w:rsid w:val="001D1B06"/>
    <w:rsid w:val="001D298E"/>
    <w:rsid w:val="001D50F2"/>
    <w:rsid w:val="001D7976"/>
    <w:rsid w:val="001E122A"/>
    <w:rsid w:val="001E1CA2"/>
    <w:rsid w:val="001E3652"/>
    <w:rsid w:val="001F2176"/>
    <w:rsid w:val="001F6B06"/>
    <w:rsid w:val="00211356"/>
    <w:rsid w:val="00212605"/>
    <w:rsid w:val="00213566"/>
    <w:rsid w:val="002142BB"/>
    <w:rsid w:val="002233FB"/>
    <w:rsid w:val="00226B44"/>
    <w:rsid w:val="0023368B"/>
    <w:rsid w:val="00233D29"/>
    <w:rsid w:val="0023732A"/>
    <w:rsid w:val="00237B3E"/>
    <w:rsid w:val="00251746"/>
    <w:rsid w:val="00251B16"/>
    <w:rsid w:val="00252FE3"/>
    <w:rsid w:val="00255339"/>
    <w:rsid w:val="002575A3"/>
    <w:rsid w:val="002614FD"/>
    <w:rsid w:val="00261FE0"/>
    <w:rsid w:val="00262CB4"/>
    <w:rsid w:val="0026507F"/>
    <w:rsid w:val="00274588"/>
    <w:rsid w:val="00274C5D"/>
    <w:rsid w:val="00277CC6"/>
    <w:rsid w:val="00284753"/>
    <w:rsid w:val="00287725"/>
    <w:rsid w:val="002920D1"/>
    <w:rsid w:val="0029284B"/>
    <w:rsid w:val="00297C29"/>
    <w:rsid w:val="002A451F"/>
    <w:rsid w:val="002A6B0D"/>
    <w:rsid w:val="002A7EE1"/>
    <w:rsid w:val="002B065D"/>
    <w:rsid w:val="002B1606"/>
    <w:rsid w:val="002B4AB7"/>
    <w:rsid w:val="002C6289"/>
    <w:rsid w:val="002C6298"/>
    <w:rsid w:val="002C729F"/>
    <w:rsid w:val="002C749C"/>
    <w:rsid w:val="002D7D64"/>
    <w:rsid w:val="002E4B89"/>
    <w:rsid w:val="002E65C7"/>
    <w:rsid w:val="002E7589"/>
    <w:rsid w:val="002F489B"/>
    <w:rsid w:val="002F53B7"/>
    <w:rsid w:val="002F5A1D"/>
    <w:rsid w:val="002F65B3"/>
    <w:rsid w:val="002F7B75"/>
    <w:rsid w:val="00300FCA"/>
    <w:rsid w:val="00301D1D"/>
    <w:rsid w:val="0030371C"/>
    <w:rsid w:val="00310731"/>
    <w:rsid w:val="0031205E"/>
    <w:rsid w:val="003146EF"/>
    <w:rsid w:val="0031540E"/>
    <w:rsid w:val="00315E61"/>
    <w:rsid w:val="00315F87"/>
    <w:rsid w:val="00321164"/>
    <w:rsid w:val="0032151D"/>
    <w:rsid w:val="00325A46"/>
    <w:rsid w:val="00330FBC"/>
    <w:rsid w:val="00331653"/>
    <w:rsid w:val="00333235"/>
    <w:rsid w:val="00333A5C"/>
    <w:rsid w:val="003358EB"/>
    <w:rsid w:val="00337D67"/>
    <w:rsid w:val="0034210C"/>
    <w:rsid w:val="0034414E"/>
    <w:rsid w:val="0034691B"/>
    <w:rsid w:val="00353442"/>
    <w:rsid w:val="00354547"/>
    <w:rsid w:val="00354CAA"/>
    <w:rsid w:val="00355B99"/>
    <w:rsid w:val="00361646"/>
    <w:rsid w:val="00363404"/>
    <w:rsid w:val="003660CA"/>
    <w:rsid w:val="00366849"/>
    <w:rsid w:val="00375E44"/>
    <w:rsid w:val="00376FDE"/>
    <w:rsid w:val="003819F9"/>
    <w:rsid w:val="003827EA"/>
    <w:rsid w:val="00384E27"/>
    <w:rsid w:val="00386B63"/>
    <w:rsid w:val="00395E44"/>
    <w:rsid w:val="0039606F"/>
    <w:rsid w:val="003971BA"/>
    <w:rsid w:val="003A0A78"/>
    <w:rsid w:val="003A272B"/>
    <w:rsid w:val="003A4465"/>
    <w:rsid w:val="003A759A"/>
    <w:rsid w:val="003A7A23"/>
    <w:rsid w:val="003B60AB"/>
    <w:rsid w:val="003C0B4D"/>
    <w:rsid w:val="003C1789"/>
    <w:rsid w:val="003C27A0"/>
    <w:rsid w:val="003C467E"/>
    <w:rsid w:val="003C5EB9"/>
    <w:rsid w:val="003D44D2"/>
    <w:rsid w:val="003D557A"/>
    <w:rsid w:val="003E2884"/>
    <w:rsid w:val="003E45DA"/>
    <w:rsid w:val="003E6077"/>
    <w:rsid w:val="003E655B"/>
    <w:rsid w:val="003F3C7A"/>
    <w:rsid w:val="00404C7B"/>
    <w:rsid w:val="00407AEF"/>
    <w:rsid w:val="004113DC"/>
    <w:rsid w:val="004119FA"/>
    <w:rsid w:val="00412456"/>
    <w:rsid w:val="004154C3"/>
    <w:rsid w:val="004201EB"/>
    <w:rsid w:val="004209E7"/>
    <w:rsid w:val="004210D7"/>
    <w:rsid w:val="00422B6C"/>
    <w:rsid w:val="004239A8"/>
    <w:rsid w:val="00426D8B"/>
    <w:rsid w:val="00433493"/>
    <w:rsid w:val="00434EF0"/>
    <w:rsid w:val="004425CA"/>
    <w:rsid w:val="0044344A"/>
    <w:rsid w:val="004449F2"/>
    <w:rsid w:val="00445756"/>
    <w:rsid w:val="00450820"/>
    <w:rsid w:val="00455ABB"/>
    <w:rsid w:val="004568E5"/>
    <w:rsid w:val="00457339"/>
    <w:rsid w:val="004607BA"/>
    <w:rsid w:val="0046274E"/>
    <w:rsid w:val="00474F1E"/>
    <w:rsid w:val="00477A78"/>
    <w:rsid w:val="00480058"/>
    <w:rsid w:val="004822CB"/>
    <w:rsid w:val="00483601"/>
    <w:rsid w:val="00484245"/>
    <w:rsid w:val="0048735F"/>
    <w:rsid w:val="004939B8"/>
    <w:rsid w:val="00493DCE"/>
    <w:rsid w:val="00493F45"/>
    <w:rsid w:val="004A4800"/>
    <w:rsid w:val="004A4DDE"/>
    <w:rsid w:val="004A6C20"/>
    <w:rsid w:val="004A7066"/>
    <w:rsid w:val="004B1B42"/>
    <w:rsid w:val="004B1BD0"/>
    <w:rsid w:val="004B6C58"/>
    <w:rsid w:val="004C2129"/>
    <w:rsid w:val="004C5B60"/>
    <w:rsid w:val="004C6887"/>
    <w:rsid w:val="004D5939"/>
    <w:rsid w:val="004D594F"/>
    <w:rsid w:val="004E01A6"/>
    <w:rsid w:val="004E1783"/>
    <w:rsid w:val="004E233C"/>
    <w:rsid w:val="004E6719"/>
    <w:rsid w:val="004F54EF"/>
    <w:rsid w:val="004F586C"/>
    <w:rsid w:val="00505091"/>
    <w:rsid w:val="00505AB7"/>
    <w:rsid w:val="00505FB2"/>
    <w:rsid w:val="00507DAF"/>
    <w:rsid w:val="0051013D"/>
    <w:rsid w:val="00515C7D"/>
    <w:rsid w:val="00516AD4"/>
    <w:rsid w:val="0052097F"/>
    <w:rsid w:val="00521B48"/>
    <w:rsid w:val="0052283B"/>
    <w:rsid w:val="005232FE"/>
    <w:rsid w:val="005267D4"/>
    <w:rsid w:val="00531CC4"/>
    <w:rsid w:val="0053433D"/>
    <w:rsid w:val="00540438"/>
    <w:rsid w:val="00541FAF"/>
    <w:rsid w:val="0054429C"/>
    <w:rsid w:val="0054507A"/>
    <w:rsid w:val="00546586"/>
    <w:rsid w:val="00550A75"/>
    <w:rsid w:val="005519C0"/>
    <w:rsid w:val="005522D1"/>
    <w:rsid w:val="00553A6B"/>
    <w:rsid w:val="005552B4"/>
    <w:rsid w:val="00561E41"/>
    <w:rsid w:val="00563362"/>
    <w:rsid w:val="005748E8"/>
    <w:rsid w:val="005756E5"/>
    <w:rsid w:val="00575ECD"/>
    <w:rsid w:val="00586840"/>
    <w:rsid w:val="00590FA7"/>
    <w:rsid w:val="00591E23"/>
    <w:rsid w:val="00594972"/>
    <w:rsid w:val="00594E20"/>
    <w:rsid w:val="005A00B6"/>
    <w:rsid w:val="005A01DA"/>
    <w:rsid w:val="005A1702"/>
    <w:rsid w:val="005A1CDC"/>
    <w:rsid w:val="005A2A68"/>
    <w:rsid w:val="005A7950"/>
    <w:rsid w:val="005B0DAD"/>
    <w:rsid w:val="005C231F"/>
    <w:rsid w:val="005C25CB"/>
    <w:rsid w:val="005C61F2"/>
    <w:rsid w:val="005C63A5"/>
    <w:rsid w:val="005C73C8"/>
    <w:rsid w:val="005D5590"/>
    <w:rsid w:val="005D69E1"/>
    <w:rsid w:val="005E1EB4"/>
    <w:rsid w:val="005E7774"/>
    <w:rsid w:val="005F48C6"/>
    <w:rsid w:val="005F7F84"/>
    <w:rsid w:val="00602BEF"/>
    <w:rsid w:val="00602F7E"/>
    <w:rsid w:val="00612C82"/>
    <w:rsid w:val="006156DF"/>
    <w:rsid w:val="0061699B"/>
    <w:rsid w:val="00620A63"/>
    <w:rsid w:val="0062296E"/>
    <w:rsid w:val="0062301F"/>
    <w:rsid w:val="00626E8A"/>
    <w:rsid w:val="0063040A"/>
    <w:rsid w:val="00634244"/>
    <w:rsid w:val="00635725"/>
    <w:rsid w:val="00635D3B"/>
    <w:rsid w:val="006378E5"/>
    <w:rsid w:val="00643279"/>
    <w:rsid w:val="00643F29"/>
    <w:rsid w:val="006565AA"/>
    <w:rsid w:val="00656FFC"/>
    <w:rsid w:val="00660141"/>
    <w:rsid w:val="006601C6"/>
    <w:rsid w:val="0066575E"/>
    <w:rsid w:val="006672C6"/>
    <w:rsid w:val="00667975"/>
    <w:rsid w:val="00667D61"/>
    <w:rsid w:val="00674E79"/>
    <w:rsid w:val="006759E7"/>
    <w:rsid w:val="006842DA"/>
    <w:rsid w:val="00685F07"/>
    <w:rsid w:val="00686BA3"/>
    <w:rsid w:val="00691485"/>
    <w:rsid w:val="00695702"/>
    <w:rsid w:val="006A0A26"/>
    <w:rsid w:val="006A1BF2"/>
    <w:rsid w:val="006A598D"/>
    <w:rsid w:val="006A6B1E"/>
    <w:rsid w:val="006A6EB7"/>
    <w:rsid w:val="006B226F"/>
    <w:rsid w:val="006D1006"/>
    <w:rsid w:val="006D28E5"/>
    <w:rsid w:val="006D3BC0"/>
    <w:rsid w:val="006D430F"/>
    <w:rsid w:val="006D4FE2"/>
    <w:rsid w:val="006E2629"/>
    <w:rsid w:val="006E3D2E"/>
    <w:rsid w:val="006F005B"/>
    <w:rsid w:val="006F0892"/>
    <w:rsid w:val="006F1023"/>
    <w:rsid w:val="006F3325"/>
    <w:rsid w:val="006F3C75"/>
    <w:rsid w:val="006F3F03"/>
    <w:rsid w:val="006F402A"/>
    <w:rsid w:val="006F5022"/>
    <w:rsid w:val="006F52BF"/>
    <w:rsid w:val="006F6491"/>
    <w:rsid w:val="007003AB"/>
    <w:rsid w:val="00701578"/>
    <w:rsid w:val="00703AD2"/>
    <w:rsid w:val="0071199A"/>
    <w:rsid w:val="007143CF"/>
    <w:rsid w:val="007265C9"/>
    <w:rsid w:val="00730397"/>
    <w:rsid w:val="00730652"/>
    <w:rsid w:val="0073568E"/>
    <w:rsid w:val="00737A2A"/>
    <w:rsid w:val="00742C30"/>
    <w:rsid w:val="00742F4E"/>
    <w:rsid w:val="0074393C"/>
    <w:rsid w:val="00747C2F"/>
    <w:rsid w:val="00761D5E"/>
    <w:rsid w:val="00762154"/>
    <w:rsid w:val="00771B83"/>
    <w:rsid w:val="00772FB5"/>
    <w:rsid w:val="00773A2E"/>
    <w:rsid w:val="00775E0E"/>
    <w:rsid w:val="00780F56"/>
    <w:rsid w:val="00783336"/>
    <w:rsid w:val="00784CD6"/>
    <w:rsid w:val="00787BF1"/>
    <w:rsid w:val="007A0124"/>
    <w:rsid w:val="007A34B9"/>
    <w:rsid w:val="007A46C9"/>
    <w:rsid w:val="007A4BA5"/>
    <w:rsid w:val="007A6431"/>
    <w:rsid w:val="007B2C14"/>
    <w:rsid w:val="007B503E"/>
    <w:rsid w:val="007B5861"/>
    <w:rsid w:val="007B7950"/>
    <w:rsid w:val="007C2A1D"/>
    <w:rsid w:val="007C5AA7"/>
    <w:rsid w:val="007C681D"/>
    <w:rsid w:val="007D08B3"/>
    <w:rsid w:val="007D1B54"/>
    <w:rsid w:val="007D4CB2"/>
    <w:rsid w:val="007E0FC6"/>
    <w:rsid w:val="007E3A10"/>
    <w:rsid w:val="007E48C4"/>
    <w:rsid w:val="007E507D"/>
    <w:rsid w:val="007E6BCB"/>
    <w:rsid w:val="007F4FC0"/>
    <w:rsid w:val="007F67BC"/>
    <w:rsid w:val="007F747B"/>
    <w:rsid w:val="00800C7E"/>
    <w:rsid w:val="008011D9"/>
    <w:rsid w:val="00803869"/>
    <w:rsid w:val="00804909"/>
    <w:rsid w:val="00807AAE"/>
    <w:rsid w:val="008110CF"/>
    <w:rsid w:val="00817046"/>
    <w:rsid w:val="00822EAA"/>
    <w:rsid w:val="00832D72"/>
    <w:rsid w:val="008451B7"/>
    <w:rsid w:val="008465D2"/>
    <w:rsid w:val="008516AD"/>
    <w:rsid w:val="00853D69"/>
    <w:rsid w:val="00863FB1"/>
    <w:rsid w:val="00864866"/>
    <w:rsid w:val="008669C9"/>
    <w:rsid w:val="008756FE"/>
    <w:rsid w:val="0087753D"/>
    <w:rsid w:val="008947B2"/>
    <w:rsid w:val="00895160"/>
    <w:rsid w:val="008A0577"/>
    <w:rsid w:val="008A107A"/>
    <w:rsid w:val="008A149D"/>
    <w:rsid w:val="008A237C"/>
    <w:rsid w:val="008A357A"/>
    <w:rsid w:val="008A38AC"/>
    <w:rsid w:val="008A3D0A"/>
    <w:rsid w:val="008A44B3"/>
    <w:rsid w:val="008A5B25"/>
    <w:rsid w:val="008A6B9E"/>
    <w:rsid w:val="008B5D90"/>
    <w:rsid w:val="008B5EF4"/>
    <w:rsid w:val="008B7FEC"/>
    <w:rsid w:val="008C0005"/>
    <w:rsid w:val="008C0AAA"/>
    <w:rsid w:val="008C12E8"/>
    <w:rsid w:val="008C2B17"/>
    <w:rsid w:val="008C3CAF"/>
    <w:rsid w:val="008C7D7A"/>
    <w:rsid w:val="008D2D18"/>
    <w:rsid w:val="008D2F47"/>
    <w:rsid w:val="008D304D"/>
    <w:rsid w:val="008D346C"/>
    <w:rsid w:val="008E00B1"/>
    <w:rsid w:val="008E5F0B"/>
    <w:rsid w:val="008E658E"/>
    <w:rsid w:val="008F0B7E"/>
    <w:rsid w:val="008F0DAA"/>
    <w:rsid w:val="009001C2"/>
    <w:rsid w:val="009009C0"/>
    <w:rsid w:val="00901B53"/>
    <w:rsid w:val="009061A6"/>
    <w:rsid w:val="0091155F"/>
    <w:rsid w:val="00915F2B"/>
    <w:rsid w:val="00920A0D"/>
    <w:rsid w:val="0092592B"/>
    <w:rsid w:val="0092598C"/>
    <w:rsid w:val="00927819"/>
    <w:rsid w:val="0093040A"/>
    <w:rsid w:val="00931FE0"/>
    <w:rsid w:val="00933820"/>
    <w:rsid w:val="00936927"/>
    <w:rsid w:val="00942567"/>
    <w:rsid w:val="00942A44"/>
    <w:rsid w:val="00943D31"/>
    <w:rsid w:val="00952067"/>
    <w:rsid w:val="009606F0"/>
    <w:rsid w:val="00963E95"/>
    <w:rsid w:val="00966BD3"/>
    <w:rsid w:val="00974341"/>
    <w:rsid w:val="00977258"/>
    <w:rsid w:val="009818C3"/>
    <w:rsid w:val="0098248F"/>
    <w:rsid w:val="009828CC"/>
    <w:rsid w:val="00982C2E"/>
    <w:rsid w:val="009830B9"/>
    <w:rsid w:val="00991F4E"/>
    <w:rsid w:val="009A52E8"/>
    <w:rsid w:val="009A5A95"/>
    <w:rsid w:val="009B4AE5"/>
    <w:rsid w:val="009B69D5"/>
    <w:rsid w:val="009C2DF6"/>
    <w:rsid w:val="009C309D"/>
    <w:rsid w:val="009C3CFB"/>
    <w:rsid w:val="009C467D"/>
    <w:rsid w:val="009C6BD0"/>
    <w:rsid w:val="009C7C73"/>
    <w:rsid w:val="009C7FDC"/>
    <w:rsid w:val="009D0009"/>
    <w:rsid w:val="009D3D11"/>
    <w:rsid w:val="009F35E0"/>
    <w:rsid w:val="009F467F"/>
    <w:rsid w:val="009F47C0"/>
    <w:rsid w:val="00A009B1"/>
    <w:rsid w:val="00A00E41"/>
    <w:rsid w:val="00A0737D"/>
    <w:rsid w:val="00A10C12"/>
    <w:rsid w:val="00A11241"/>
    <w:rsid w:val="00A13F4A"/>
    <w:rsid w:val="00A26244"/>
    <w:rsid w:val="00A27A04"/>
    <w:rsid w:val="00A30807"/>
    <w:rsid w:val="00A3176E"/>
    <w:rsid w:val="00A33C5A"/>
    <w:rsid w:val="00A34B52"/>
    <w:rsid w:val="00A41762"/>
    <w:rsid w:val="00A4357C"/>
    <w:rsid w:val="00A4508A"/>
    <w:rsid w:val="00A45B71"/>
    <w:rsid w:val="00A4689B"/>
    <w:rsid w:val="00A47D21"/>
    <w:rsid w:val="00A52E43"/>
    <w:rsid w:val="00A5453E"/>
    <w:rsid w:val="00A5558D"/>
    <w:rsid w:val="00A626CC"/>
    <w:rsid w:val="00A64AF9"/>
    <w:rsid w:val="00A67A65"/>
    <w:rsid w:val="00A67A85"/>
    <w:rsid w:val="00A70202"/>
    <w:rsid w:val="00A7373E"/>
    <w:rsid w:val="00A75F7E"/>
    <w:rsid w:val="00A76AC5"/>
    <w:rsid w:val="00A77925"/>
    <w:rsid w:val="00A77959"/>
    <w:rsid w:val="00A80FB2"/>
    <w:rsid w:val="00A82344"/>
    <w:rsid w:val="00A83723"/>
    <w:rsid w:val="00A83930"/>
    <w:rsid w:val="00A84927"/>
    <w:rsid w:val="00A856FA"/>
    <w:rsid w:val="00A92701"/>
    <w:rsid w:val="00A978D9"/>
    <w:rsid w:val="00AA2A0A"/>
    <w:rsid w:val="00AA2ED9"/>
    <w:rsid w:val="00AA695D"/>
    <w:rsid w:val="00AB00C7"/>
    <w:rsid w:val="00AB208A"/>
    <w:rsid w:val="00AC5AC7"/>
    <w:rsid w:val="00AD0791"/>
    <w:rsid w:val="00AD25EA"/>
    <w:rsid w:val="00AD3BC9"/>
    <w:rsid w:val="00AE0865"/>
    <w:rsid w:val="00AE28F6"/>
    <w:rsid w:val="00AE2B01"/>
    <w:rsid w:val="00AE4166"/>
    <w:rsid w:val="00AE5668"/>
    <w:rsid w:val="00AE5990"/>
    <w:rsid w:val="00AF266E"/>
    <w:rsid w:val="00AF2DAA"/>
    <w:rsid w:val="00AF5CCD"/>
    <w:rsid w:val="00B12339"/>
    <w:rsid w:val="00B12E1E"/>
    <w:rsid w:val="00B14F50"/>
    <w:rsid w:val="00B22526"/>
    <w:rsid w:val="00B23590"/>
    <w:rsid w:val="00B24877"/>
    <w:rsid w:val="00B27C91"/>
    <w:rsid w:val="00B31DC2"/>
    <w:rsid w:val="00B359D6"/>
    <w:rsid w:val="00B35B7C"/>
    <w:rsid w:val="00B431CE"/>
    <w:rsid w:val="00B5019C"/>
    <w:rsid w:val="00B54FFE"/>
    <w:rsid w:val="00B62C80"/>
    <w:rsid w:val="00B62DDE"/>
    <w:rsid w:val="00B63334"/>
    <w:rsid w:val="00B65953"/>
    <w:rsid w:val="00B70FC1"/>
    <w:rsid w:val="00B764CA"/>
    <w:rsid w:val="00B8594B"/>
    <w:rsid w:val="00B8637E"/>
    <w:rsid w:val="00B947EA"/>
    <w:rsid w:val="00BA07E1"/>
    <w:rsid w:val="00BA0FEC"/>
    <w:rsid w:val="00BA5406"/>
    <w:rsid w:val="00BA56B5"/>
    <w:rsid w:val="00BA6ED3"/>
    <w:rsid w:val="00BA711A"/>
    <w:rsid w:val="00BC49A8"/>
    <w:rsid w:val="00BC678C"/>
    <w:rsid w:val="00BD0048"/>
    <w:rsid w:val="00BD13DA"/>
    <w:rsid w:val="00BE5095"/>
    <w:rsid w:val="00BF1453"/>
    <w:rsid w:val="00BF353C"/>
    <w:rsid w:val="00BF6E7B"/>
    <w:rsid w:val="00C012DA"/>
    <w:rsid w:val="00C0472B"/>
    <w:rsid w:val="00C137DE"/>
    <w:rsid w:val="00C14740"/>
    <w:rsid w:val="00C149F3"/>
    <w:rsid w:val="00C21BEF"/>
    <w:rsid w:val="00C25A2F"/>
    <w:rsid w:val="00C26894"/>
    <w:rsid w:val="00C317E6"/>
    <w:rsid w:val="00C35437"/>
    <w:rsid w:val="00C35C43"/>
    <w:rsid w:val="00C36F56"/>
    <w:rsid w:val="00C4124A"/>
    <w:rsid w:val="00C52963"/>
    <w:rsid w:val="00C54423"/>
    <w:rsid w:val="00C577AE"/>
    <w:rsid w:val="00C6403D"/>
    <w:rsid w:val="00C73711"/>
    <w:rsid w:val="00C81CC7"/>
    <w:rsid w:val="00C858ED"/>
    <w:rsid w:val="00C87406"/>
    <w:rsid w:val="00C936AA"/>
    <w:rsid w:val="00C93E42"/>
    <w:rsid w:val="00C94106"/>
    <w:rsid w:val="00C95A30"/>
    <w:rsid w:val="00C97E26"/>
    <w:rsid w:val="00CA1A4F"/>
    <w:rsid w:val="00CA348A"/>
    <w:rsid w:val="00CA7D40"/>
    <w:rsid w:val="00CB2DA9"/>
    <w:rsid w:val="00CB36FD"/>
    <w:rsid w:val="00CB57DE"/>
    <w:rsid w:val="00CB693C"/>
    <w:rsid w:val="00CC0AA0"/>
    <w:rsid w:val="00CD016E"/>
    <w:rsid w:val="00CD122E"/>
    <w:rsid w:val="00CD1F5E"/>
    <w:rsid w:val="00CD317F"/>
    <w:rsid w:val="00CD3FBE"/>
    <w:rsid w:val="00CD4277"/>
    <w:rsid w:val="00CD63F6"/>
    <w:rsid w:val="00CE12B9"/>
    <w:rsid w:val="00CE1DD6"/>
    <w:rsid w:val="00CE5E9B"/>
    <w:rsid w:val="00CE72F0"/>
    <w:rsid w:val="00CE7935"/>
    <w:rsid w:val="00CF3D36"/>
    <w:rsid w:val="00CF3F4F"/>
    <w:rsid w:val="00CF58F9"/>
    <w:rsid w:val="00D01751"/>
    <w:rsid w:val="00D034FF"/>
    <w:rsid w:val="00D07F61"/>
    <w:rsid w:val="00D1093E"/>
    <w:rsid w:val="00D10B6E"/>
    <w:rsid w:val="00D11F5F"/>
    <w:rsid w:val="00D128ED"/>
    <w:rsid w:val="00D237EA"/>
    <w:rsid w:val="00D24EEC"/>
    <w:rsid w:val="00D30101"/>
    <w:rsid w:val="00D328DF"/>
    <w:rsid w:val="00D37793"/>
    <w:rsid w:val="00D573AB"/>
    <w:rsid w:val="00D641D6"/>
    <w:rsid w:val="00D646C0"/>
    <w:rsid w:val="00D65B39"/>
    <w:rsid w:val="00D6606E"/>
    <w:rsid w:val="00D67433"/>
    <w:rsid w:val="00D811BC"/>
    <w:rsid w:val="00D818DF"/>
    <w:rsid w:val="00D81E77"/>
    <w:rsid w:val="00D87717"/>
    <w:rsid w:val="00D91E33"/>
    <w:rsid w:val="00DA1167"/>
    <w:rsid w:val="00DA1177"/>
    <w:rsid w:val="00DB0965"/>
    <w:rsid w:val="00DB1924"/>
    <w:rsid w:val="00DB2890"/>
    <w:rsid w:val="00DB7C4B"/>
    <w:rsid w:val="00DC12FA"/>
    <w:rsid w:val="00DC2C86"/>
    <w:rsid w:val="00DC71C4"/>
    <w:rsid w:val="00DD1EB8"/>
    <w:rsid w:val="00DD7585"/>
    <w:rsid w:val="00DE2B2D"/>
    <w:rsid w:val="00DE5A5B"/>
    <w:rsid w:val="00DF035F"/>
    <w:rsid w:val="00DF1642"/>
    <w:rsid w:val="00DF22B6"/>
    <w:rsid w:val="00DF346A"/>
    <w:rsid w:val="00DF66A9"/>
    <w:rsid w:val="00E0226B"/>
    <w:rsid w:val="00E02BB5"/>
    <w:rsid w:val="00E112E6"/>
    <w:rsid w:val="00E12716"/>
    <w:rsid w:val="00E12768"/>
    <w:rsid w:val="00E12AD7"/>
    <w:rsid w:val="00E12C5B"/>
    <w:rsid w:val="00E1660D"/>
    <w:rsid w:val="00E16FE4"/>
    <w:rsid w:val="00E21EDE"/>
    <w:rsid w:val="00E22F8F"/>
    <w:rsid w:val="00E23A61"/>
    <w:rsid w:val="00E23BBC"/>
    <w:rsid w:val="00E279EC"/>
    <w:rsid w:val="00E334B9"/>
    <w:rsid w:val="00E356C0"/>
    <w:rsid w:val="00E43C16"/>
    <w:rsid w:val="00E43CD7"/>
    <w:rsid w:val="00E43DDA"/>
    <w:rsid w:val="00E45530"/>
    <w:rsid w:val="00E455F9"/>
    <w:rsid w:val="00E4688B"/>
    <w:rsid w:val="00E55FEC"/>
    <w:rsid w:val="00E5788D"/>
    <w:rsid w:val="00E67D4D"/>
    <w:rsid w:val="00E74B4B"/>
    <w:rsid w:val="00E75118"/>
    <w:rsid w:val="00E75FD6"/>
    <w:rsid w:val="00E75FDB"/>
    <w:rsid w:val="00E76E83"/>
    <w:rsid w:val="00E80C0A"/>
    <w:rsid w:val="00E818AB"/>
    <w:rsid w:val="00E82426"/>
    <w:rsid w:val="00E82B9A"/>
    <w:rsid w:val="00E85869"/>
    <w:rsid w:val="00E909ED"/>
    <w:rsid w:val="00E91C09"/>
    <w:rsid w:val="00E9292E"/>
    <w:rsid w:val="00E93DAC"/>
    <w:rsid w:val="00E941D1"/>
    <w:rsid w:val="00E9473B"/>
    <w:rsid w:val="00E9727A"/>
    <w:rsid w:val="00E9778F"/>
    <w:rsid w:val="00EA1D6C"/>
    <w:rsid w:val="00EA6BF3"/>
    <w:rsid w:val="00EB41A8"/>
    <w:rsid w:val="00EC091F"/>
    <w:rsid w:val="00ED255D"/>
    <w:rsid w:val="00ED3743"/>
    <w:rsid w:val="00ED7C13"/>
    <w:rsid w:val="00EE04AB"/>
    <w:rsid w:val="00EE0D7D"/>
    <w:rsid w:val="00EE1362"/>
    <w:rsid w:val="00EE2C9E"/>
    <w:rsid w:val="00EE7586"/>
    <w:rsid w:val="00EF055D"/>
    <w:rsid w:val="00EF4176"/>
    <w:rsid w:val="00F0119C"/>
    <w:rsid w:val="00F03D75"/>
    <w:rsid w:val="00F0474A"/>
    <w:rsid w:val="00F04AB1"/>
    <w:rsid w:val="00F06DAD"/>
    <w:rsid w:val="00F100FA"/>
    <w:rsid w:val="00F12A2E"/>
    <w:rsid w:val="00F13A32"/>
    <w:rsid w:val="00F17D78"/>
    <w:rsid w:val="00F25CDD"/>
    <w:rsid w:val="00F31A92"/>
    <w:rsid w:val="00F359AB"/>
    <w:rsid w:val="00F43226"/>
    <w:rsid w:val="00F452D9"/>
    <w:rsid w:val="00F46819"/>
    <w:rsid w:val="00F52005"/>
    <w:rsid w:val="00F520E0"/>
    <w:rsid w:val="00F524A1"/>
    <w:rsid w:val="00F54A05"/>
    <w:rsid w:val="00F55E12"/>
    <w:rsid w:val="00F67F21"/>
    <w:rsid w:val="00F75E3F"/>
    <w:rsid w:val="00F80200"/>
    <w:rsid w:val="00F86C88"/>
    <w:rsid w:val="00F879B5"/>
    <w:rsid w:val="00F90C55"/>
    <w:rsid w:val="00F92F9D"/>
    <w:rsid w:val="00F944A6"/>
    <w:rsid w:val="00F94739"/>
    <w:rsid w:val="00F95B56"/>
    <w:rsid w:val="00FA10EF"/>
    <w:rsid w:val="00FA1BB2"/>
    <w:rsid w:val="00FA3185"/>
    <w:rsid w:val="00FA4A5C"/>
    <w:rsid w:val="00FA66C4"/>
    <w:rsid w:val="00FA67BA"/>
    <w:rsid w:val="00FB158F"/>
    <w:rsid w:val="00FB3551"/>
    <w:rsid w:val="00FB6122"/>
    <w:rsid w:val="00FC1CAB"/>
    <w:rsid w:val="00FC1DDF"/>
    <w:rsid w:val="00FC484A"/>
    <w:rsid w:val="00FC5E3F"/>
    <w:rsid w:val="00FC710A"/>
    <w:rsid w:val="00FD2488"/>
    <w:rsid w:val="00FD24CC"/>
    <w:rsid w:val="00FD4337"/>
    <w:rsid w:val="00FD4A5A"/>
    <w:rsid w:val="00FD579A"/>
    <w:rsid w:val="00FD77A7"/>
    <w:rsid w:val="00FE0D2A"/>
    <w:rsid w:val="00FE12E8"/>
    <w:rsid w:val="00FE6756"/>
    <w:rsid w:val="00FE6F51"/>
    <w:rsid w:val="00FE79DC"/>
    <w:rsid w:val="00FF0FEB"/>
    <w:rsid w:val="00FF5C14"/>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9"/>
  </w:style>
  <w:style w:type="paragraph" w:styleId="Heading1">
    <w:name w:val="heading 1"/>
    <w:basedOn w:val="Normal"/>
    <w:next w:val="Normal"/>
    <w:link w:val="Heading1Char"/>
    <w:uiPriority w:val="9"/>
    <w:qFormat/>
    <w:rsid w:val="00B431CE"/>
    <w:pPr>
      <w:keepNext/>
      <w:keepLines/>
      <w:spacing w:before="480" w:after="0"/>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3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DDA"/>
    <w:rPr>
      <w:sz w:val="20"/>
      <w:szCs w:val="20"/>
    </w:rPr>
  </w:style>
  <w:style w:type="character" w:styleId="FootnoteReference">
    <w:name w:val="footnote reference"/>
    <w:basedOn w:val="DefaultParagraphFont"/>
    <w:uiPriority w:val="99"/>
    <w:semiHidden/>
    <w:unhideWhenUsed/>
    <w:rsid w:val="00E43DDA"/>
    <w:rPr>
      <w:vertAlign w:val="superscript"/>
    </w:rPr>
  </w:style>
  <w:style w:type="paragraph" w:styleId="EndnoteText">
    <w:name w:val="endnote text"/>
    <w:basedOn w:val="Normal"/>
    <w:link w:val="EndnoteTextChar"/>
    <w:uiPriority w:val="99"/>
    <w:semiHidden/>
    <w:unhideWhenUsed/>
    <w:rsid w:val="003A2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72B"/>
    <w:rPr>
      <w:sz w:val="20"/>
      <w:szCs w:val="20"/>
    </w:rPr>
  </w:style>
  <w:style w:type="character" w:styleId="EndnoteReference">
    <w:name w:val="endnote reference"/>
    <w:basedOn w:val="DefaultParagraphFont"/>
    <w:uiPriority w:val="99"/>
    <w:semiHidden/>
    <w:unhideWhenUsed/>
    <w:rsid w:val="003A272B"/>
    <w:rPr>
      <w:vertAlign w:val="superscript"/>
    </w:rPr>
  </w:style>
  <w:style w:type="paragraph" w:styleId="Header">
    <w:name w:val="header"/>
    <w:basedOn w:val="Normal"/>
    <w:link w:val="HeaderChar"/>
    <w:uiPriority w:val="99"/>
    <w:unhideWhenUsed/>
    <w:rsid w:val="00FA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5C"/>
  </w:style>
  <w:style w:type="paragraph" w:styleId="Footer">
    <w:name w:val="footer"/>
    <w:basedOn w:val="Normal"/>
    <w:link w:val="FooterChar"/>
    <w:uiPriority w:val="99"/>
    <w:unhideWhenUsed/>
    <w:rsid w:val="00FA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5C"/>
  </w:style>
  <w:style w:type="table" w:styleId="TableGrid">
    <w:name w:val="Table Grid"/>
    <w:basedOn w:val="TableNormal"/>
    <w:uiPriority w:val="59"/>
    <w:rsid w:val="00D6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92B"/>
    <w:pPr>
      <w:ind w:left="720"/>
      <w:contextualSpacing/>
    </w:pPr>
  </w:style>
  <w:style w:type="paragraph" w:styleId="BalloonText">
    <w:name w:val="Balloon Text"/>
    <w:basedOn w:val="Normal"/>
    <w:link w:val="BalloonTextChar"/>
    <w:uiPriority w:val="99"/>
    <w:semiHidden/>
    <w:unhideWhenUsed/>
    <w:rsid w:val="009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2E"/>
    <w:rPr>
      <w:rFonts w:ascii="Tahoma" w:hAnsi="Tahoma" w:cs="Tahoma"/>
      <w:sz w:val="16"/>
      <w:szCs w:val="16"/>
    </w:rPr>
  </w:style>
  <w:style w:type="character" w:styleId="CommentReference">
    <w:name w:val="annotation reference"/>
    <w:basedOn w:val="DefaultParagraphFont"/>
    <w:uiPriority w:val="99"/>
    <w:semiHidden/>
    <w:unhideWhenUsed/>
    <w:rsid w:val="00037FC5"/>
    <w:rPr>
      <w:sz w:val="16"/>
      <w:szCs w:val="16"/>
    </w:rPr>
  </w:style>
  <w:style w:type="paragraph" w:styleId="CommentText">
    <w:name w:val="annotation text"/>
    <w:basedOn w:val="Normal"/>
    <w:link w:val="CommentTextChar"/>
    <w:uiPriority w:val="99"/>
    <w:semiHidden/>
    <w:unhideWhenUsed/>
    <w:rsid w:val="00037FC5"/>
    <w:pPr>
      <w:spacing w:line="240" w:lineRule="auto"/>
    </w:pPr>
    <w:rPr>
      <w:sz w:val="20"/>
      <w:szCs w:val="20"/>
    </w:rPr>
  </w:style>
  <w:style w:type="character" w:customStyle="1" w:styleId="CommentTextChar">
    <w:name w:val="Comment Text Char"/>
    <w:basedOn w:val="DefaultParagraphFont"/>
    <w:link w:val="CommentText"/>
    <w:uiPriority w:val="99"/>
    <w:semiHidden/>
    <w:rsid w:val="00037FC5"/>
    <w:rPr>
      <w:sz w:val="20"/>
      <w:szCs w:val="20"/>
    </w:rPr>
  </w:style>
  <w:style w:type="paragraph" w:styleId="CommentSubject">
    <w:name w:val="annotation subject"/>
    <w:basedOn w:val="CommentText"/>
    <w:next w:val="CommentText"/>
    <w:link w:val="CommentSubjectChar"/>
    <w:uiPriority w:val="99"/>
    <w:semiHidden/>
    <w:unhideWhenUsed/>
    <w:rsid w:val="00037FC5"/>
    <w:rPr>
      <w:b/>
      <w:bCs/>
    </w:rPr>
  </w:style>
  <w:style w:type="character" w:customStyle="1" w:styleId="CommentSubjectChar">
    <w:name w:val="Comment Subject Char"/>
    <w:basedOn w:val="CommentTextChar"/>
    <w:link w:val="CommentSubject"/>
    <w:uiPriority w:val="99"/>
    <w:semiHidden/>
    <w:rsid w:val="00037FC5"/>
    <w:rPr>
      <w:b/>
      <w:bCs/>
      <w:sz w:val="20"/>
      <w:szCs w:val="20"/>
    </w:rPr>
  </w:style>
  <w:style w:type="character" w:customStyle="1" w:styleId="Heading1Char">
    <w:name w:val="Heading 1 Char"/>
    <w:basedOn w:val="DefaultParagraphFont"/>
    <w:link w:val="Heading1"/>
    <w:uiPriority w:val="9"/>
    <w:rsid w:val="00B431CE"/>
    <w:rPr>
      <w:rFonts w:eastAsiaTheme="majorEastAsia" w:cstheme="majorBidi"/>
      <w:b/>
      <w:bCs/>
      <w:color w:val="000000" w:themeColor="text1"/>
      <w:sz w:val="32"/>
      <w:szCs w:val="28"/>
    </w:rPr>
  </w:style>
  <w:style w:type="paragraph" w:styleId="NormalWeb">
    <w:name w:val="Normal (Web)"/>
    <w:basedOn w:val="Normal"/>
    <w:uiPriority w:val="99"/>
    <w:semiHidden/>
    <w:unhideWhenUsed/>
    <w:rsid w:val="004D5939"/>
    <w:pPr>
      <w:spacing w:before="100" w:beforeAutospacing="1" w:after="100" w:afterAutospacing="1" w:line="240" w:lineRule="auto"/>
    </w:pPr>
    <w:rPr>
      <w:rFonts w:ascii="Times New Roman" w:eastAsiaTheme="minorEastAsia" w:hAnsi="Times New Roman" w:cs="Times New Roman"/>
      <w:sz w:val="24"/>
      <w:szCs w:val="24"/>
    </w:rPr>
  </w:style>
  <w:style w:type="table" w:styleId="MediumShading1-Accent1">
    <w:name w:val="Medium Shading 1 Accent 1"/>
    <w:basedOn w:val="TableNormal"/>
    <w:uiPriority w:val="63"/>
    <w:rsid w:val="005949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01751"/>
    <w:rPr>
      <w:color w:val="808080"/>
    </w:rPr>
  </w:style>
  <w:style w:type="table" w:styleId="LightList-Accent1">
    <w:name w:val="Light List Accent 1"/>
    <w:basedOn w:val="TableNormal"/>
    <w:uiPriority w:val="61"/>
    <w:rsid w:val="00A839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23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9"/>
  </w:style>
  <w:style w:type="paragraph" w:styleId="Heading1">
    <w:name w:val="heading 1"/>
    <w:basedOn w:val="Normal"/>
    <w:next w:val="Normal"/>
    <w:link w:val="Heading1Char"/>
    <w:uiPriority w:val="9"/>
    <w:qFormat/>
    <w:rsid w:val="00B431CE"/>
    <w:pPr>
      <w:keepNext/>
      <w:keepLines/>
      <w:spacing w:before="480" w:after="0"/>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3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DDA"/>
    <w:rPr>
      <w:sz w:val="20"/>
      <w:szCs w:val="20"/>
    </w:rPr>
  </w:style>
  <w:style w:type="character" w:styleId="FootnoteReference">
    <w:name w:val="footnote reference"/>
    <w:basedOn w:val="DefaultParagraphFont"/>
    <w:uiPriority w:val="99"/>
    <w:semiHidden/>
    <w:unhideWhenUsed/>
    <w:rsid w:val="00E43DDA"/>
    <w:rPr>
      <w:vertAlign w:val="superscript"/>
    </w:rPr>
  </w:style>
  <w:style w:type="paragraph" w:styleId="EndnoteText">
    <w:name w:val="endnote text"/>
    <w:basedOn w:val="Normal"/>
    <w:link w:val="EndnoteTextChar"/>
    <w:uiPriority w:val="99"/>
    <w:semiHidden/>
    <w:unhideWhenUsed/>
    <w:rsid w:val="003A2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72B"/>
    <w:rPr>
      <w:sz w:val="20"/>
      <w:szCs w:val="20"/>
    </w:rPr>
  </w:style>
  <w:style w:type="character" w:styleId="EndnoteReference">
    <w:name w:val="endnote reference"/>
    <w:basedOn w:val="DefaultParagraphFont"/>
    <w:uiPriority w:val="99"/>
    <w:semiHidden/>
    <w:unhideWhenUsed/>
    <w:rsid w:val="003A272B"/>
    <w:rPr>
      <w:vertAlign w:val="superscript"/>
    </w:rPr>
  </w:style>
  <w:style w:type="paragraph" w:styleId="Header">
    <w:name w:val="header"/>
    <w:basedOn w:val="Normal"/>
    <w:link w:val="HeaderChar"/>
    <w:uiPriority w:val="99"/>
    <w:unhideWhenUsed/>
    <w:rsid w:val="00FA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5C"/>
  </w:style>
  <w:style w:type="paragraph" w:styleId="Footer">
    <w:name w:val="footer"/>
    <w:basedOn w:val="Normal"/>
    <w:link w:val="FooterChar"/>
    <w:uiPriority w:val="99"/>
    <w:unhideWhenUsed/>
    <w:rsid w:val="00FA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5C"/>
  </w:style>
  <w:style w:type="table" w:styleId="TableGrid">
    <w:name w:val="Table Grid"/>
    <w:basedOn w:val="TableNormal"/>
    <w:uiPriority w:val="59"/>
    <w:rsid w:val="00D6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92B"/>
    <w:pPr>
      <w:ind w:left="720"/>
      <w:contextualSpacing/>
    </w:pPr>
  </w:style>
  <w:style w:type="paragraph" w:styleId="BalloonText">
    <w:name w:val="Balloon Text"/>
    <w:basedOn w:val="Normal"/>
    <w:link w:val="BalloonTextChar"/>
    <w:uiPriority w:val="99"/>
    <w:semiHidden/>
    <w:unhideWhenUsed/>
    <w:rsid w:val="009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2E"/>
    <w:rPr>
      <w:rFonts w:ascii="Tahoma" w:hAnsi="Tahoma" w:cs="Tahoma"/>
      <w:sz w:val="16"/>
      <w:szCs w:val="16"/>
    </w:rPr>
  </w:style>
  <w:style w:type="character" w:styleId="CommentReference">
    <w:name w:val="annotation reference"/>
    <w:basedOn w:val="DefaultParagraphFont"/>
    <w:uiPriority w:val="99"/>
    <w:semiHidden/>
    <w:unhideWhenUsed/>
    <w:rsid w:val="00037FC5"/>
    <w:rPr>
      <w:sz w:val="16"/>
      <w:szCs w:val="16"/>
    </w:rPr>
  </w:style>
  <w:style w:type="paragraph" w:styleId="CommentText">
    <w:name w:val="annotation text"/>
    <w:basedOn w:val="Normal"/>
    <w:link w:val="CommentTextChar"/>
    <w:uiPriority w:val="99"/>
    <w:semiHidden/>
    <w:unhideWhenUsed/>
    <w:rsid w:val="00037FC5"/>
    <w:pPr>
      <w:spacing w:line="240" w:lineRule="auto"/>
    </w:pPr>
    <w:rPr>
      <w:sz w:val="20"/>
      <w:szCs w:val="20"/>
    </w:rPr>
  </w:style>
  <w:style w:type="character" w:customStyle="1" w:styleId="CommentTextChar">
    <w:name w:val="Comment Text Char"/>
    <w:basedOn w:val="DefaultParagraphFont"/>
    <w:link w:val="CommentText"/>
    <w:uiPriority w:val="99"/>
    <w:semiHidden/>
    <w:rsid w:val="00037FC5"/>
    <w:rPr>
      <w:sz w:val="20"/>
      <w:szCs w:val="20"/>
    </w:rPr>
  </w:style>
  <w:style w:type="paragraph" w:styleId="CommentSubject">
    <w:name w:val="annotation subject"/>
    <w:basedOn w:val="CommentText"/>
    <w:next w:val="CommentText"/>
    <w:link w:val="CommentSubjectChar"/>
    <w:uiPriority w:val="99"/>
    <w:semiHidden/>
    <w:unhideWhenUsed/>
    <w:rsid w:val="00037FC5"/>
    <w:rPr>
      <w:b/>
      <w:bCs/>
    </w:rPr>
  </w:style>
  <w:style w:type="character" w:customStyle="1" w:styleId="CommentSubjectChar">
    <w:name w:val="Comment Subject Char"/>
    <w:basedOn w:val="CommentTextChar"/>
    <w:link w:val="CommentSubject"/>
    <w:uiPriority w:val="99"/>
    <w:semiHidden/>
    <w:rsid w:val="00037FC5"/>
    <w:rPr>
      <w:b/>
      <w:bCs/>
      <w:sz w:val="20"/>
      <w:szCs w:val="20"/>
    </w:rPr>
  </w:style>
  <w:style w:type="character" w:customStyle="1" w:styleId="Heading1Char">
    <w:name w:val="Heading 1 Char"/>
    <w:basedOn w:val="DefaultParagraphFont"/>
    <w:link w:val="Heading1"/>
    <w:uiPriority w:val="9"/>
    <w:rsid w:val="00B431CE"/>
    <w:rPr>
      <w:rFonts w:eastAsiaTheme="majorEastAsia" w:cstheme="majorBidi"/>
      <w:b/>
      <w:bCs/>
      <w:color w:val="000000" w:themeColor="text1"/>
      <w:sz w:val="32"/>
      <w:szCs w:val="28"/>
    </w:rPr>
  </w:style>
  <w:style w:type="paragraph" w:styleId="NormalWeb">
    <w:name w:val="Normal (Web)"/>
    <w:basedOn w:val="Normal"/>
    <w:uiPriority w:val="99"/>
    <w:semiHidden/>
    <w:unhideWhenUsed/>
    <w:rsid w:val="004D5939"/>
    <w:pPr>
      <w:spacing w:before="100" w:beforeAutospacing="1" w:after="100" w:afterAutospacing="1" w:line="240" w:lineRule="auto"/>
    </w:pPr>
    <w:rPr>
      <w:rFonts w:ascii="Times New Roman" w:eastAsiaTheme="minorEastAsia" w:hAnsi="Times New Roman" w:cs="Times New Roman"/>
      <w:sz w:val="24"/>
      <w:szCs w:val="24"/>
    </w:rPr>
  </w:style>
  <w:style w:type="table" w:styleId="MediumShading1-Accent1">
    <w:name w:val="Medium Shading 1 Accent 1"/>
    <w:basedOn w:val="TableNormal"/>
    <w:uiPriority w:val="63"/>
    <w:rsid w:val="005949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01751"/>
    <w:rPr>
      <w:color w:val="808080"/>
    </w:rPr>
  </w:style>
  <w:style w:type="table" w:styleId="LightList-Accent1">
    <w:name w:val="Light List Accent 1"/>
    <w:basedOn w:val="TableNormal"/>
    <w:uiPriority w:val="61"/>
    <w:rsid w:val="00A839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23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51122153">
      <w:bodyDiv w:val="1"/>
      <w:marLeft w:val="0"/>
      <w:marRight w:val="0"/>
      <w:marTop w:val="0"/>
      <w:marBottom w:val="0"/>
      <w:divBdr>
        <w:top w:val="none" w:sz="0" w:space="0" w:color="auto"/>
        <w:left w:val="none" w:sz="0" w:space="0" w:color="auto"/>
        <w:bottom w:val="none" w:sz="0" w:space="0" w:color="auto"/>
        <w:right w:val="none" w:sz="0" w:space="0" w:color="auto"/>
      </w:divBdr>
    </w:div>
    <w:div w:id="158086189">
      <w:bodyDiv w:val="1"/>
      <w:marLeft w:val="0"/>
      <w:marRight w:val="0"/>
      <w:marTop w:val="0"/>
      <w:marBottom w:val="0"/>
      <w:divBdr>
        <w:top w:val="none" w:sz="0" w:space="0" w:color="auto"/>
        <w:left w:val="none" w:sz="0" w:space="0" w:color="auto"/>
        <w:bottom w:val="none" w:sz="0" w:space="0" w:color="auto"/>
        <w:right w:val="none" w:sz="0" w:space="0" w:color="auto"/>
      </w:divBdr>
    </w:div>
    <w:div w:id="209071261">
      <w:bodyDiv w:val="1"/>
      <w:marLeft w:val="0"/>
      <w:marRight w:val="0"/>
      <w:marTop w:val="0"/>
      <w:marBottom w:val="0"/>
      <w:divBdr>
        <w:top w:val="none" w:sz="0" w:space="0" w:color="auto"/>
        <w:left w:val="none" w:sz="0" w:space="0" w:color="auto"/>
        <w:bottom w:val="none" w:sz="0" w:space="0" w:color="auto"/>
        <w:right w:val="none" w:sz="0" w:space="0" w:color="auto"/>
      </w:divBdr>
    </w:div>
    <w:div w:id="262957135">
      <w:bodyDiv w:val="1"/>
      <w:marLeft w:val="0"/>
      <w:marRight w:val="0"/>
      <w:marTop w:val="0"/>
      <w:marBottom w:val="0"/>
      <w:divBdr>
        <w:top w:val="none" w:sz="0" w:space="0" w:color="auto"/>
        <w:left w:val="none" w:sz="0" w:space="0" w:color="auto"/>
        <w:bottom w:val="none" w:sz="0" w:space="0" w:color="auto"/>
        <w:right w:val="none" w:sz="0" w:space="0" w:color="auto"/>
      </w:divBdr>
    </w:div>
    <w:div w:id="280768401">
      <w:bodyDiv w:val="1"/>
      <w:marLeft w:val="0"/>
      <w:marRight w:val="0"/>
      <w:marTop w:val="0"/>
      <w:marBottom w:val="0"/>
      <w:divBdr>
        <w:top w:val="none" w:sz="0" w:space="0" w:color="auto"/>
        <w:left w:val="none" w:sz="0" w:space="0" w:color="auto"/>
        <w:bottom w:val="none" w:sz="0" w:space="0" w:color="auto"/>
        <w:right w:val="none" w:sz="0" w:space="0" w:color="auto"/>
      </w:divBdr>
    </w:div>
    <w:div w:id="297028724">
      <w:bodyDiv w:val="1"/>
      <w:marLeft w:val="0"/>
      <w:marRight w:val="0"/>
      <w:marTop w:val="0"/>
      <w:marBottom w:val="0"/>
      <w:divBdr>
        <w:top w:val="none" w:sz="0" w:space="0" w:color="auto"/>
        <w:left w:val="none" w:sz="0" w:space="0" w:color="auto"/>
        <w:bottom w:val="none" w:sz="0" w:space="0" w:color="auto"/>
        <w:right w:val="none" w:sz="0" w:space="0" w:color="auto"/>
      </w:divBdr>
    </w:div>
    <w:div w:id="389889002">
      <w:bodyDiv w:val="1"/>
      <w:marLeft w:val="0"/>
      <w:marRight w:val="0"/>
      <w:marTop w:val="0"/>
      <w:marBottom w:val="0"/>
      <w:divBdr>
        <w:top w:val="none" w:sz="0" w:space="0" w:color="auto"/>
        <w:left w:val="none" w:sz="0" w:space="0" w:color="auto"/>
        <w:bottom w:val="none" w:sz="0" w:space="0" w:color="auto"/>
        <w:right w:val="none" w:sz="0" w:space="0" w:color="auto"/>
      </w:divBdr>
    </w:div>
    <w:div w:id="393160960">
      <w:bodyDiv w:val="1"/>
      <w:marLeft w:val="0"/>
      <w:marRight w:val="0"/>
      <w:marTop w:val="0"/>
      <w:marBottom w:val="0"/>
      <w:divBdr>
        <w:top w:val="none" w:sz="0" w:space="0" w:color="auto"/>
        <w:left w:val="none" w:sz="0" w:space="0" w:color="auto"/>
        <w:bottom w:val="none" w:sz="0" w:space="0" w:color="auto"/>
        <w:right w:val="none" w:sz="0" w:space="0" w:color="auto"/>
      </w:divBdr>
    </w:div>
    <w:div w:id="417363061">
      <w:bodyDiv w:val="1"/>
      <w:marLeft w:val="0"/>
      <w:marRight w:val="0"/>
      <w:marTop w:val="0"/>
      <w:marBottom w:val="0"/>
      <w:divBdr>
        <w:top w:val="none" w:sz="0" w:space="0" w:color="auto"/>
        <w:left w:val="none" w:sz="0" w:space="0" w:color="auto"/>
        <w:bottom w:val="none" w:sz="0" w:space="0" w:color="auto"/>
        <w:right w:val="none" w:sz="0" w:space="0" w:color="auto"/>
      </w:divBdr>
    </w:div>
    <w:div w:id="457139811">
      <w:bodyDiv w:val="1"/>
      <w:marLeft w:val="0"/>
      <w:marRight w:val="0"/>
      <w:marTop w:val="0"/>
      <w:marBottom w:val="0"/>
      <w:divBdr>
        <w:top w:val="none" w:sz="0" w:space="0" w:color="auto"/>
        <w:left w:val="none" w:sz="0" w:space="0" w:color="auto"/>
        <w:bottom w:val="none" w:sz="0" w:space="0" w:color="auto"/>
        <w:right w:val="none" w:sz="0" w:space="0" w:color="auto"/>
      </w:divBdr>
    </w:div>
    <w:div w:id="572008457">
      <w:bodyDiv w:val="1"/>
      <w:marLeft w:val="0"/>
      <w:marRight w:val="0"/>
      <w:marTop w:val="0"/>
      <w:marBottom w:val="0"/>
      <w:divBdr>
        <w:top w:val="none" w:sz="0" w:space="0" w:color="auto"/>
        <w:left w:val="none" w:sz="0" w:space="0" w:color="auto"/>
        <w:bottom w:val="none" w:sz="0" w:space="0" w:color="auto"/>
        <w:right w:val="none" w:sz="0" w:space="0" w:color="auto"/>
      </w:divBdr>
      <w:divsChild>
        <w:div w:id="877160341">
          <w:marLeft w:val="547"/>
          <w:marRight w:val="0"/>
          <w:marTop w:val="115"/>
          <w:marBottom w:val="0"/>
          <w:divBdr>
            <w:top w:val="none" w:sz="0" w:space="0" w:color="auto"/>
            <w:left w:val="none" w:sz="0" w:space="0" w:color="auto"/>
            <w:bottom w:val="none" w:sz="0" w:space="0" w:color="auto"/>
            <w:right w:val="none" w:sz="0" w:space="0" w:color="auto"/>
          </w:divBdr>
        </w:div>
        <w:div w:id="2020884442">
          <w:marLeft w:val="1166"/>
          <w:marRight w:val="0"/>
          <w:marTop w:val="96"/>
          <w:marBottom w:val="0"/>
          <w:divBdr>
            <w:top w:val="none" w:sz="0" w:space="0" w:color="auto"/>
            <w:left w:val="none" w:sz="0" w:space="0" w:color="auto"/>
            <w:bottom w:val="none" w:sz="0" w:space="0" w:color="auto"/>
            <w:right w:val="none" w:sz="0" w:space="0" w:color="auto"/>
          </w:divBdr>
        </w:div>
        <w:div w:id="977104999">
          <w:marLeft w:val="547"/>
          <w:marRight w:val="0"/>
          <w:marTop w:val="115"/>
          <w:marBottom w:val="0"/>
          <w:divBdr>
            <w:top w:val="none" w:sz="0" w:space="0" w:color="auto"/>
            <w:left w:val="none" w:sz="0" w:space="0" w:color="auto"/>
            <w:bottom w:val="none" w:sz="0" w:space="0" w:color="auto"/>
            <w:right w:val="none" w:sz="0" w:space="0" w:color="auto"/>
          </w:divBdr>
        </w:div>
        <w:div w:id="2065255403">
          <w:marLeft w:val="1166"/>
          <w:marRight w:val="0"/>
          <w:marTop w:val="96"/>
          <w:marBottom w:val="0"/>
          <w:divBdr>
            <w:top w:val="none" w:sz="0" w:space="0" w:color="auto"/>
            <w:left w:val="none" w:sz="0" w:space="0" w:color="auto"/>
            <w:bottom w:val="none" w:sz="0" w:space="0" w:color="auto"/>
            <w:right w:val="none" w:sz="0" w:space="0" w:color="auto"/>
          </w:divBdr>
        </w:div>
        <w:div w:id="702292286">
          <w:marLeft w:val="1166"/>
          <w:marRight w:val="0"/>
          <w:marTop w:val="96"/>
          <w:marBottom w:val="0"/>
          <w:divBdr>
            <w:top w:val="none" w:sz="0" w:space="0" w:color="auto"/>
            <w:left w:val="none" w:sz="0" w:space="0" w:color="auto"/>
            <w:bottom w:val="none" w:sz="0" w:space="0" w:color="auto"/>
            <w:right w:val="none" w:sz="0" w:space="0" w:color="auto"/>
          </w:divBdr>
        </w:div>
        <w:div w:id="1811512924">
          <w:marLeft w:val="547"/>
          <w:marRight w:val="0"/>
          <w:marTop w:val="115"/>
          <w:marBottom w:val="0"/>
          <w:divBdr>
            <w:top w:val="none" w:sz="0" w:space="0" w:color="auto"/>
            <w:left w:val="none" w:sz="0" w:space="0" w:color="auto"/>
            <w:bottom w:val="none" w:sz="0" w:space="0" w:color="auto"/>
            <w:right w:val="none" w:sz="0" w:space="0" w:color="auto"/>
          </w:divBdr>
        </w:div>
        <w:div w:id="591932558">
          <w:marLeft w:val="1166"/>
          <w:marRight w:val="0"/>
          <w:marTop w:val="96"/>
          <w:marBottom w:val="0"/>
          <w:divBdr>
            <w:top w:val="none" w:sz="0" w:space="0" w:color="auto"/>
            <w:left w:val="none" w:sz="0" w:space="0" w:color="auto"/>
            <w:bottom w:val="none" w:sz="0" w:space="0" w:color="auto"/>
            <w:right w:val="none" w:sz="0" w:space="0" w:color="auto"/>
          </w:divBdr>
        </w:div>
        <w:div w:id="615016732">
          <w:marLeft w:val="1800"/>
          <w:marRight w:val="0"/>
          <w:marTop w:val="86"/>
          <w:marBottom w:val="0"/>
          <w:divBdr>
            <w:top w:val="none" w:sz="0" w:space="0" w:color="auto"/>
            <w:left w:val="none" w:sz="0" w:space="0" w:color="auto"/>
            <w:bottom w:val="none" w:sz="0" w:space="0" w:color="auto"/>
            <w:right w:val="none" w:sz="0" w:space="0" w:color="auto"/>
          </w:divBdr>
        </w:div>
        <w:div w:id="528300517">
          <w:marLeft w:val="1166"/>
          <w:marRight w:val="0"/>
          <w:marTop w:val="96"/>
          <w:marBottom w:val="0"/>
          <w:divBdr>
            <w:top w:val="none" w:sz="0" w:space="0" w:color="auto"/>
            <w:left w:val="none" w:sz="0" w:space="0" w:color="auto"/>
            <w:bottom w:val="none" w:sz="0" w:space="0" w:color="auto"/>
            <w:right w:val="none" w:sz="0" w:space="0" w:color="auto"/>
          </w:divBdr>
        </w:div>
        <w:div w:id="1926062381">
          <w:marLeft w:val="547"/>
          <w:marRight w:val="0"/>
          <w:marTop w:val="115"/>
          <w:marBottom w:val="0"/>
          <w:divBdr>
            <w:top w:val="none" w:sz="0" w:space="0" w:color="auto"/>
            <w:left w:val="none" w:sz="0" w:space="0" w:color="auto"/>
            <w:bottom w:val="none" w:sz="0" w:space="0" w:color="auto"/>
            <w:right w:val="none" w:sz="0" w:space="0" w:color="auto"/>
          </w:divBdr>
        </w:div>
        <w:div w:id="925305523">
          <w:marLeft w:val="1166"/>
          <w:marRight w:val="0"/>
          <w:marTop w:val="96"/>
          <w:marBottom w:val="0"/>
          <w:divBdr>
            <w:top w:val="none" w:sz="0" w:space="0" w:color="auto"/>
            <w:left w:val="none" w:sz="0" w:space="0" w:color="auto"/>
            <w:bottom w:val="none" w:sz="0" w:space="0" w:color="auto"/>
            <w:right w:val="none" w:sz="0" w:space="0" w:color="auto"/>
          </w:divBdr>
        </w:div>
        <w:div w:id="1726097815">
          <w:marLeft w:val="1166"/>
          <w:marRight w:val="0"/>
          <w:marTop w:val="96"/>
          <w:marBottom w:val="0"/>
          <w:divBdr>
            <w:top w:val="none" w:sz="0" w:space="0" w:color="auto"/>
            <w:left w:val="none" w:sz="0" w:space="0" w:color="auto"/>
            <w:bottom w:val="none" w:sz="0" w:space="0" w:color="auto"/>
            <w:right w:val="none" w:sz="0" w:space="0" w:color="auto"/>
          </w:divBdr>
        </w:div>
      </w:divsChild>
    </w:div>
    <w:div w:id="699742653">
      <w:bodyDiv w:val="1"/>
      <w:marLeft w:val="0"/>
      <w:marRight w:val="0"/>
      <w:marTop w:val="0"/>
      <w:marBottom w:val="0"/>
      <w:divBdr>
        <w:top w:val="none" w:sz="0" w:space="0" w:color="auto"/>
        <w:left w:val="none" w:sz="0" w:space="0" w:color="auto"/>
        <w:bottom w:val="none" w:sz="0" w:space="0" w:color="auto"/>
        <w:right w:val="none" w:sz="0" w:space="0" w:color="auto"/>
      </w:divBdr>
    </w:div>
    <w:div w:id="701366564">
      <w:bodyDiv w:val="1"/>
      <w:marLeft w:val="0"/>
      <w:marRight w:val="0"/>
      <w:marTop w:val="0"/>
      <w:marBottom w:val="0"/>
      <w:divBdr>
        <w:top w:val="none" w:sz="0" w:space="0" w:color="auto"/>
        <w:left w:val="none" w:sz="0" w:space="0" w:color="auto"/>
        <w:bottom w:val="none" w:sz="0" w:space="0" w:color="auto"/>
        <w:right w:val="none" w:sz="0" w:space="0" w:color="auto"/>
      </w:divBdr>
    </w:div>
    <w:div w:id="796680256">
      <w:bodyDiv w:val="1"/>
      <w:marLeft w:val="0"/>
      <w:marRight w:val="0"/>
      <w:marTop w:val="0"/>
      <w:marBottom w:val="0"/>
      <w:divBdr>
        <w:top w:val="none" w:sz="0" w:space="0" w:color="auto"/>
        <w:left w:val="none" w:sz="0" w:space="0" w:color="auto"/>
        <w:bottom w:val="none" w:sz="0" w:space="0" w:color="auto"/>
        <w:right w:val="none" w:sz="0" w:space="0" w:color="auto"/>
      </w:divBdr>
    </w:div>
    <w:div w:id="827479428">
      <w:bodyDiv w:val="1"/>
      <w:marLeft w:val="0"/>
      <w:marRight w:val="0"/>
      <w:marTop w:val="0"/>
      <w:marBottom w:val="0"/>
      <w:divBdr>
        <w:top w:val="none" w:sz="0" w:space="0" w:color="auto"/>
        <w:left w:val="none" w:sz="0" w:space="0" w:color="auto"/>
        <w:bottom w:val="none" w:sz="0" w:space="0" w:color="auto"/>
        <w:right w:val="none" w:sz="0" w:space="0" w:color="auto"/>
      </w:divBdr>
    </w:div>
    <w:div w:id="947813627">
      <w:bodyDiv w:val="1"/>
      <w:marLeft w:val="0"/>
      <w:marRight w:val="0"/>
      <w:marTop w:val="0"/>
      <w:marBottom w:val="0"/>
      <w:divBdr>
        <w:top w:val="none" w:sz="0" w:space="0" w:color="auto"/>
        <w:left w:val="none" w:sz="0" w:space="0" w:color="auto"/>
        <w:bottom w:val="none" w:sz="0" w:space="0" w:color="auto"/>
        <w:right w:val="none" w:sz="0" w:space="0" w:color="auto"/>
      </w:divBdr>
    </w:div>
    <w:div w:id="1051460847">
      <w:bodyDiv w:val="1"/>
      <w:marLeft w:val="0"/>
      <w:marRight w:val="0"/>
      <w:marTop w:val="0"/>
      <w:marBottom w:val="0"/>
      <w:divBdr>
        <w:top w:val="none" w:sz="0" w:space="0" w:color="auto"/>
        <w:left w:val="none" w:sz="0" w:space="0" w:color="auto"/>
        <w:bottom w:val="none" w:sz="0" w:space="0" w:color="auto"/>
        <w:right w:val="none" w:sz="0" w:space="0" w:color="auto"/>
      </w:divBdr>
    </w:div>
    <w:div w:id="1142040178">
      <w:bodyDiv w:val="1"/>
      <w:marLeft w:val="0"/>
      <w:marRight w:val="0"/>
      <w:marTop w:val="0"/>
      <w:marBottom w:val="0"/>
      <w:divBdr>
        <w:top w:val="none" w:sz="0" w:space="0" w:color="auto"/>
        <w:left w:val="none" w:sz="0" w:space="0" w:color="auto"/>
        <w:bottom w:val="none" w:sz="0" w:space="0" w:color="auto"/>
        <w:right w:val="none" w:sz="0" w:space="0" w:color="auto"/>
      </w:divBdr>
    </w:div>
    <w:div w:id="1171868281">
      <w:bodyDiv w:val="1"/>
      <w:marLeft w:val="0"/>
      <w:marRight w:val="0"/>
      <w:marTop w:val="0"/>
      <w:marBottom w:val="0"/>
      <w:divBdr>
        <w:top w:val="none" w:sz="0" w:space="0" w:color="auto"/>
        <w:left w:val="none" w:sz="0" w:space="0" w:color="auto"/>
        <w:bottom w:val="none" w:sz="0" w:space="0" w:color="auto"/>
        <w:right w:val="none" w:sz="0" w:space="0" w:color="auto"/>
      </w:divBdr>
    </w:div>
    <w:div w:id="1176069372">
      <w:bodyDiv w:val="1"/>
      <w:marLeft w:val="0"/>
      <w:marRight w:val="0"/>
      <w:marTop w:val="0"/>
      <w:marBottom w:val="0"/>
      <w:divBdr>
        <w:top w:val="none" w:sz="0" w:space="0" w:color="auto"/>
        <w:left w:val="none" w:sz="0" w:space="0" w:color="auto"/>
        <w:bottom w:val="none" w:sz="0" w:space="0" w:color="auto"/>
        <w:right w:val="none" w:sz="0" w:space="0" w:color="auto"/>
      </w:divBdr>
    </w:div>
    <w:div w:id="1177690055">
      <w:bodyDiv w:val="1"/>
      <w:marLeft w:val="0"/>
      <w:marRight w:val="0"/>
      <w:marTop w:val="0"/>
      <w:marBottom w:val="0"/>
      <w:divBdr>
        <w:top w:val="none" w:sz="0" w:space="0" w:color="auto"/>
        <w:left w:val="none" w:sz="0" w:space="0" w:color="auto"/>
        <w:bottom w:val="none" w:sz="0" w:space="0" w:color="auto"/>
        <w:right w:val="none" w:sz="0" w:space="0" w:color="auto"/>
      </w:divBdr>
    </w:div>
    <w:div w:id="1215115087">
      <w:bodyDiv w:val="1"/>
      <w:marLeft w:val="0"/>
      <w:marRight w:val="0"/>
      <w:marTop w:val="0"/>
      <w:marBottom w:val="0"/>
      <w:divBdr>
        <w:top w:val="none" w:sz="0" w:space="0" w:color="auto"/>
        <w:left w:val="none" w:sz="0" w:space="0" w:color="auto"/>
        <w:bottom w:val="none" w:sz="0" w:space="0" w:color="auto"/>
        <w:right w:val="none" w:sz="0" w:space="0" w:color="auto"/>
      </w:divBdr>
    </w:div>
    <w:div w:id="1225874201">
      <w:bodyDiv w:val="1"/>
      <w:marLeft w:val="0"/>
      <w:marRight w:val="0"/>
      <w:marTop w:val="0"/>
      <w:marBottom w:val="0"/>
      <w:divBdr>
        <w:top w:val="none" w:sz="0" w:space="0" w:color="auto"/>
        <w:left w:val="none" w:sz="0" w:space="0" w:color="auto"/>
        <w:bottom w:val="none" w:sz="0" w:space="0" w:color="auto"/>
        <w:right w:val="none" w:sz="0" w:space="0" w:color="auto"/>
      </w:divBdr>
    </w:div>
    <w:div w:id="1272669376">
      <w:bodyDiv w:val="1"/>
      <w:marLeft w:val="0"/>
      <w:marRight w:val="0"/>
      <w:marTop w:val="0"/>
      <w:marBottom w:val="0"/>
      <w:divBdr>
        <w:top w:val="none" w:sz="0" w:space="0" w:color="auto"/>
        <w:left w:val="none" w:sz="0" w:space="0" w:color="auto"/>
        <w:bottom w:val="none" w:sz="0" w:space="0" w:color="auto"/>
        <w:right w:val="none" w:sz="0" w:space="0" w:color="auto"/>
      </w:divBdr>
    </w:div>
    <w:div w:id="1430809279">
      <w:bodyDiv w:val="1"/>
      <w:marLeft w:val="0"/>
      <w:marRight w:val="0"/>
      <w:marTop w:val="0"/>
      <w:marBottom w:val="0"/>
      <w:divBdr>
        <w:top w:val="none" w:sz="0" w:space="0" w:color="auto"/>
        <w:left w:val="none" w:sz="0" w:space="0" w:color="auto"/>
        <w:bottom w:val="none" w:sz="0" w:space="0" w:color="auto"/>
        <w:right w:val="none" w:sz="0" w:space="0" w:color="auto"/>
      </w:divBdr>
    </w:div>
    <w:div w:id="1451432997">
      <w:bodyDiv w:val="1"/>
      <w:marLeft w:val="0"/>
      <w:marRight w:val="0"/>
      <w:marTop w:val="0"/>
      <w:marBottom w:val="0"/>
      <w:divBdr>
        <w:top w:val="none" w:sz="0" w:space="0" w:color="auto"/>
        <w:left w:val="none" w:sz="0" w:space="0" w:color="auto"/>
        <w:bottom w:val="none" w:sz="0" w:space="0" w:color="auto"/>
        <w:right w:val="none" w:sz="0" w:space="0" w:color="auto"/>
      </w:divBdr>
    </w:div>
    <w:div w:id="1467236106">
      <w:bodyDiv w:val="1"/>
      <w:marLeft w:val="0"/>
      <w:marRight w:val="0"/>
      <w:marTop w:val="0"/>
      <w:marBottom w:val="0"/>
      <w:divBdr>
        <w:top w:val="none" w:sz="0" w:space="0" w:color="auto"/>
        <w:left w:val="none" w:sz="0" w:space="0" w:color="auto"/>
        <w:bottom w:val="none" w:sz="0" w:space="0" w:color="auto"/>
        <w:right w:val="none" w:sz="0" w:space="0" w:color="auto"/>
      </w:divBdr>
      <w:divsChild>
        <w:div w:id="1802529394">
          <w:marLeft w:val="547"/>
          <w:marRight w:val="0"/>
          <w:marTop w:val="115"/>
          <w:marBottom w:val="0"/>
          <w:divBdr>
            <w:top w:val="none" w:sz="0" w:space="0" w:color="auto"/>
            <w:left w:val="none" w:sz="0" w:space="0" w:color="auto"/>
            <w:bottom w:val="none" w:sz="0" w:space="0" w:color="auto"/>
            <w:right w:val="none" w:sz="0" w:space="0" w:color="auto"/>
          </w:divBdr>
        </w:div>
        <w:div w:id="846138771">
          <w:marLeft w:val="1166"/>
          <w:marRight w:val="0"/>
          <w:marTop w:val="96"/>
          <w:marBottom w:val="0"/>
          <w:divBdr>
            <w:top w:val="none" w:sz="0" w:space="0" w:color="auto"/>
            <w:left w:val="none" w:sz="0" w:space="0" w:color="auto"/>
            <w:bottom w:val="none" w:sz="0" w:space="0" w:color="auto"/>
            <w:right w:val="none" w:sz="0" w:space="0" w:color="auto"/>
          </w:divBdr>
        </w:div>
        <w:div w:id="1058824157">
          <w:marLeft w:val="1166"/>
          <w:marRight w:val="0"/>
          <w:marTop w:val="96"/>
          <w:marBottom w:val="0"/>
          <w:divBdr>
            <w:top w:val="none" w:sz="0" w:space="0" w:color="auto"/>
            <w:left w:val="none" w:sz="0" w:space="0" w:color="auto"/>
            <w:bottom w:val="none" w:sz="0" w:space="0" w:color="auto"/>
            <w:right w:val="none" w:sz="0" w:space="0" w:color="auto"/>
          </w:divBdr>
        </w:div>
        <w:div w:id="642731276">
          <w:marLeft w:val="547"/>
          <w:marRight w:val="0"/>
          <w:marTop w:val="115"/>
          <w:marBottom w:val="0"/>
          <w:divBdr>
            <w:top w:val="none" w:sz="0" w:space="0" w:color="auto"/>
            <w:left w:val="none" w:sz="0" w:space="0" w:color="auto"/>
            <w:bottom w:val="none" w:sz="0" w:space="0" w:color="auto"/>
            <w:right w:val="none" w:sz="0" w:space="0" w:color="auto"/>
          </w:divBdr>
        </w:div>
        <w:div w:id="1458640021">
          <w:marLeft w:val="1166"/>
          <w:marRight w:val="0"/>
          <w:marTop w:val="96"/>
          <w:marBottom w:val="0"/>
          <w:divBdr>
            <w:top w:val="none" w:sz="0" w:space="0" w:color="auto"/>
            <w:left w:val="none" w:sz="0" w:space="0" w:color="auto"/>
            <w:bottom w:val="none" w:sz="0" w:space="0" w:color="auto"/>
            <w:right w:val="none" w:sz="0" w:space="0" w:color="auto"/>
          </w:divBdr>
        </w:div>
        <w:div w:id="124080048">
          <w:marLeft w:val="1166"/>
          <w:marRight w:val="0"/>
          <w:marTop w:val="96"/>
          <w:marBottom w:val="0"/>
          <w:divBdr>
            <w:top w:val="none" w:sz="0" w:space="0" w:color="auto"/>
            <w:left w:val="none" w:sz="0" w:space="0" w:color="auto"/>
            <w:bottom w:val="none" w:sz="0" w:space="0" w:color="auto"/>
            <w:right w:val="none" w:sz="0" w:space="0" w:color="auto"/>
          </w:divBdr>
        </w:div>
        <w:div w:id="1137916497">
          <w:marLeft w:val="547"/>
          <w:marRight w:val="0"/>
          <w:marTop w:val="115"/>
          <w:marBottom w:val="0"/>
          <w:divBdr>
            <w:top w:val="none" w:sz="0" w:space="0" w:color="auto"/>
            <w:left w:val="none" w:sz="0" w:space="0" w:color="auto"/>
            <w:bottom w:val="none" w:sz="0" w:space="0" w:color="auto"/>
            <w:right w:val="none" w:sz="0" w:space="0" w:color="auto"/>
          </w:divBdr>
        </w:div>
        <w:div w:id="1011372251">
          <w:marLeft w:val="1166"/>
          <w:marRight w:val="0"/>
          <w:marTop w:val="96"/>
          <w:marBottom w:val="0"/>
          <w:divBdr>
            <w:top w:val="none" w:sz="0" w:space="0" w:color="auto"/>
            <w:left w:val="none" w:sz="0" w:space="0" w:color="auto"/>
            <w:bottom w:val="none" w:sz="0" w:space="0" w:color="auto"/>
            <w:right w:val="none" w:sz="0" w:space="0" w:color="auto"/>
          </w:divBdr>
        </w:div>
        <w:div w:id="1836845263">
          <w:marLeft w:val="547"/>
          <w:marRight w:val="0"/>
          <w:marTop w:val="115"/>
          <w:marBottom w:val="0"/>
          <w:divBdr>
            <w:top w:val="none" w:sz="0" w:space="0" w:color="auto"/>
            <w:left w:val="none" w:sz="0" w:space="0" w:color="auto"/>
            <w:bottom w:val="none" w:sz="0" w:space="0" w:color="auto"/>
            <w:right w:val="none" w:sz="0" w:space="0" w:color="auto"/>
          </w:divBdr>
        </w:div>
        <w:div w:id="929003537">
          <w:marLeft w:val="1166"/>
          <w:marRight w:val="0"/>
          <w:marTop w:val="96"/>
          <w:marBottom w:val="0"/>
          <w:divBdr>
            <w:top w:val="none" w:sz="0" w:space="0" w:color="auto"/>
            <w:left w:val="none" w:sz="0" w:space="0" w:color="auto"/>
            <w:bottom w:val="none" w:sz="0" w:space="0" w:color="auto"/>
            <w:right w:val="none" w:sz="0" w:space="0" w:color="auto"/>
          </w:divBdr>
        </w:div>
        <w:div w:id="1843810265">
          <w:marLeft w:val="547"/>
          <w:marRight w:val="0"/>
          <w:marTop w:val="115"/>
          <w:marBottom w:val="0"/>
          <w:divBdr>
            <w:top w:val="none" w:sz="0" w:space="0" w:color="auto"/>
            <w:left w:val="none" w:sz="0" w:space="0" w:color="auto"/>
            <w:bottom w:val="none" w:sz="0" w:space="0" w:color="auto"/>
            <w:right w:val="none" w:sz="0" w:space="0" w:color="auto"/>
          </w:divBdr>
        </w:div>
        <w:div w:id="1905406341">
          <w:marLeft w:val="1166"/>
          <w:marRight w:val="0"/>
          <w:marTop w:val="96"/>
          <w:marBottom w:val="0"/>
          <w:divBdr>
            <w:top w:val="none" w:sz="0" w:space="0" w:color="auto"/>
            <w:left w:val="none" w:sz="0" w:space="0" w:color="auto"/>
            <w:bottom w:val="none" w:sz="0" w:space="0" w:color="auto"/>
            <w:right w:val="none" w:sz="0" w:space="0" w:color="auto"/>
          </w:divBdr>
        </w:div>
      </w:divsChild>
    </w:div>
    <w:div w:id="1468737637">
      <w:bodyDiv w:val="1"/>
      <w:marLeft w:val="0"/>
      <w:marRight w:val="0"/>
      <w:marTop w:val="0"/>
      <w:marBottom w:val="0"/>
      <w:divBdr>
        <w:top w:val="none" w:sz="0" w:space="0" w:color="auto"/>
        <w:left w:val="none" w:sz="0" w:space="0" w:color="auto"/>
        <w:bottom w:val="none" w:sz="0" w:space="0" w:color="auto"/>
        <w:right w:val="none" w:sz="0" w:space="0" w:color="auto"/>
      </w:divBdr>
    </w:div>
    <w:div w:id="1488860186">
      <w:bodyDiv w:val="1"/>
      <w:marLeft w:val="0"/>
      <w:marRight w:val="0"/>
      <w:marTop w:val="0"/>
      <w:marBottom w:val="0"/>
      <w:divBdr>
        <w:top w:val="none" w:sz="0" w:space="0" w:color="auto"/>
        <w:left w:val="none" w:sz="0" w:space="0" w:color="auto"/>
        <w:bottom w:val="none" w:sz="0" w:space="0" w:color="auto"/>
        <w:right w:val="none" w:sz="0" w:space="0" w:color="auto"/>
      </w:divBdr>
    </w:div>
    <w:div w:id="1499929409">
      <w:bodyDiv w:val="1"/>
      <w:marLeft w:val="0"/>
      <w:marRight w:val="0"/>
      <w:marTop w:val="0"/>
      <w:marBottom w:val="0"/>
      <w:divBdr>
        <w:top w:val="none" w:sz="0" w:space="0" w:color="auto"/>
        <w:left w:val="none" w:sz="0" w:space="0" w:color="auto"/>
        <w:bottom w:val="none" w:sz="0" w:space="0" w:color="auto"/>
        <w:right w:val="none" w:sz="0" w:space="0" w:color="auto"/>
      </w:divBdr>
    </w:div>
    <w:div w:id="1512455733">
      <w:bodyDiv w:val="1"/>
      <w:marLeft w:val="0"/>
      <w:marRight w:val="0"/>
      <w:marTop w:val="0"/>
      <w:marBottom w:val="0"/>
      <w:divBdr>
        <w:top w:val="none" w:sz="0" w:space="0" w:color="auto"/>
        <w:left w:val="none" w:sz="0" w:space="0" w:color="auto"/>
        <w:bottom w:val="none" w:sz="0" w:space="0" w:color="auto"/>
        <w:right w:val="none" w:sz="0" w:space="0" w:color="auto"/>
      </w:divBdr>
    </w:div>
    <w:div w:id="1537812061">
      <w:bodyDiv w:val="1"/>
      <w:marLeft w:val="0"/>
      <w:marRight w:val="0"/>
      <w:marTop w:val="0"/>
      <w:marBottom w:val="0"/>
      <w:divBdr>
        <w:top w:val="none" w:sz="0" w:space="0" w:color="auto"/>
        <w:left w:val="none" w:sz="0" w:space="0" w:color="auto"/>
        <w:bottom w:val="none" w:sz="0" w:space="0" w:color="auto"/>
        <w:right w:val="none" w:sz="0" w:space="0" w:color="auto"/>
      </w:divBdr>
    </w:div>
    <w:div w:id="1543861168">
      <w:bodyDiv w:val="1"/>
      <w:marLeft w:val="0"/>
      <w:marRight w:val="0"/>
      <w:marTop w:val="0"/>
      <w:marBottom w:val="0"/>
      <w:divBdr>
        <w:top w:val="none" w:sz="0" w:space="0" w:color="auto"/>
        <w:left w:val="none" w:sz="0" w:space="0" w:color="auto"/>
        <w:bottom w:val="none" w:sz="0" w:space="0" w:color="auto"/>
        <w:right w:val="none" w:sz="0" w:space="0" w:color="auto"/>
      </w:divBdr>
    </w:div>
    <w:div w:id="1629512869">
      <w:bodyDiv w:val="1"/>
      <w:marLeft w:val="0"/>
      <w:marRight w:val="0"/>
      <w:marTop w:val="0"/>
      <w:marBottom w:val="0"/>
      <w:divBdr>
        <w:top w:val="none" w:sz="0" w:space="0" w:color="auto"/>
        <w:left w:val="none" w:sz="0" w:space="0" w:color="auto"/>
        <w:bottom w:val="none" w:sz="0" w:space="0" w:color="auto"/>
        <w:right w:val="none" w:sz="0" w:space="0" w:color="auto"/>
      </w:divBdr>
    </w:div>
    <w:div w:id="1697998318">
      <w:bodyDiv w:val="1"/>
      <w:marLeft w:val="0"/>
      <w:marRight w:val="0"/>
      <w:marTop w:val="0"/>
      <w:marBottom w:val="0"/>
      <w:divBdr>
        <w:top w:val="none" w:sz="0" w:space="0" w:color="auto"/>
        <w:left w:val="none" w:sz="0" w:space="0" w:color="auto"/>
        <w:bottom w:val="none" w:sz="0" w:space="0" w:color="auto"/>
        <w:right w:val="none" w:sz="0" w:space="0" w:color="auto"/>
      </w:divBdr>
    </w:div>
    <w:div w:id="1741170690">
      <w:bodyDiv w:val="1"/>
      <w:marLeft w:val="0"/>
      <w:marRight w:val="0"/>
      <w:marTop w:val="0"/>
      <w:marBottom w:val="0"/>
      <w:divBdr>
        <w:top w:val="none" w:sz="0" w:space="0" w:color="auto"/>
        <w:left w:val="none" w:sz="0" w:space="0" w:color="auto"/>
        <w:bottom w:val="none" w:sz="0" w:space="0" w:color="auto"/>
        <w:right w:val="none" w:sz="0" w:space="0" w:color="auto"/>
      </w:divBdr>
    </w:div>
    <w:div w:id="1797873504">
      <w:bodyDiv w:val="1"/>
      <w:marLeft w:val="0"/>
      <w:marRight w:val="0"/>
      <w:marTop w:val="0"/>
      <w:marBottom w:val="0"/>
      <w:divBdr>
        <w:top w:val="none" w:sz="0" w:space="0" w:color="auto"/>
        <w:left w:val="none" w:sz="0" w:space="0" w:color="auto"/>
        <w:bottom w:val="none" w:sz="0" w:space="0" w:color="auto"/>
        <w:right w:val="none" w:sz="0" w:space="0" w:color="auto"/>
      </w:divBdr>
    </w:div>
    <w:div w:id="1850099793">
      <w:bodyDiv w:val="1"/>
      <w:marLeft w:val="0"/>
      <w:marRight w:val="0"/>
      <w:marTop w:val="0"/>
      <w:marBottom w:val="0"/>
      <w:divBdr>
        <w:top w:val="none" w:sz="0" w:space="0" w:color="auto"/>
        <w:left w:val="none" w:sz="0" w:space="0" w:color="auto"/>
        <w:bottom w:val="none" w:sz="0" w:space="0" w:color="auto"/>
        <w:right w:val="none" w:sz="0" w:space="0" w:color="auto"/>
      </w:divBdr>
    </w:div>
    <w:div w:id="1980188081">
      <w:bodyDiv w:val="1"/>
      <w:marLeft w:val="0"/>
      <w:marRight w:val="0"/>
      <w:marTop w:val="0"/>
      <w:marBottom w:val="0"/>
      <w:divBdr>
        <w:top w:val="none" w:sz="0" w:space="0" w:color="auto"/>
        <w:left w:val="none" w:sz="0" w:space="0" w:color="auto"/>
        <w:bottom w:val="none" w:sz="0" w:space="0" w:color="auto"/>
        <w:right w:val="none" w:sz="0" w:space="0" w:color="auto"/>
      </w:divBdr>
    </w:div>
    <w:div w:id="19866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2016-01-29T00:15:00Z</dcterms:created>
  <dcterms:modified xsi:type="dcterms:W3CDTF">2016-01-29T00:16:00Z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